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638CD" w14:textId="77777777" w:rsidR="009021A1" w:rsidRPr="009021A1" w:rsidRDefault="009021A1" w:rsidP="009021A1">
      <w:pPr>
        <w:ind w:right="198"/>
        <w:jc w:val="center"/>
        <w:rPr>
          <w:bCs/>
          <w:iCs/>
          <w:sz w:val="24"/>
          <w:szCs w:val="24"/>
        </w:rPr>
      </w:pPr>
      <w:r>
        <w:rPr>
          <w:noProof/>
        </w:rPr>
        <w:drawing>
          <wp:anchor distT="0" distB="0" distL="114300" distR="114300" simplePos="0" relativeHeight="251659264" behindDoc="1" locked="0" layoutInCell="1" allowOverlap="1" wp14:anchorId="71A4156F" wp14:editId="3ED73D62">
            <wp:simplePos x="0" y="0"/>
            <wp:positionH relativeFrom="page">
              <wp:posOffset>666750</wp:posOffset>
            </wp:positionH>
            <wp:positionV relativeFrom="page">
              <wp:posOffset>342900</wp:posOffset>
            </wp:positionV>
            <wp:extent cx="3060063" cy="959305"/>
            <wp:effectExtent l="0" t="0" r="7620" b="0"/>
            <wp:wrapNone/>
            <wp:docPr id="3"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_bpi_investissement.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060063" cy="959305"/>
                    </a:xfrm>
                    <a:prstGeom prst="rect">
                      <a:avLst/>
                    </a:prstGeom>
                  </pic:spPr>
                </pic:pic>
              </a:graphicData>
            </a:graphic>
            <wp14:sizeRelH relativeFrom="margin">
              <wp14:pctWidth>0</wp14:pctWidth>
            </wp14:sizeRelH>
            <wp14:sizeRelV relativeFrom="margin">
              <wp14:pctHeight>0</wp14:pctHeight>
            </wp14:sizeRelV>
          </wp:anchor>
        </w:drawing>
      </w:r>
    </w:p>
    <w:p w14:paraId="6D7DDB19" w14:textId="77777777" w:rsidR="009021A1" w:rsidRDefault="009021A1" w:rsidP="009021A1">
      <w:pPr>
        <w:pStyle w:val="Textedesaisie"/>
        <w:rPr>
          <w:noProof/>
          <w:color w:val="5E514D"/>
        </w:rPr>
      </w:pPr>
    </w:p>
    <w:p w14:paraId="104B4AFE" w14:textId="77777777" w:rsidR="009021A1" w:rsidRDefault="009021A1" w:rsidP="009021A1">
      <w:pPr>
        <w:pStyle w:val="Textedesaisie"/>
        <w:rPr>
          <w:noProof/>
          <w:color w:val="5E514D"/>
        </w:rPr>
      </w:pPr>
    </w:p>
    <w:p w14:paraId="33889DF5" w14:textId="77777777" w:rsidR="009021A1" w:rsidRPr="009021A1" w:rsidRDefault="009021A1" w:rsidP="009021A1">
      <w:pPr>
        <w:pStyle w:val="Textedesaisie"/>
        <w:rPr>
          <w:rFonts w:ascii="Arial" w:hAnsi="Arial" w:cs="Arial"/>
          <w:noProof/>
          <w:color w:val="5E514D"/>
          <w:sz w:val="22"/>
        </w:rPr>
      </w:pPr>
      <w:r w:rsidRPr="009021A1">
        <w:rPr>
          <w:rFonts w:ascii="Arial" w:hAnsi="Arial" w:cs="Arial"/>
          <w:noProof/>
          <w:color w:val="5E514D"/>
          <w:sz w:val="22"/>
        </w:rPr>
        <w:t>Des informations relatives aux contrats importants obtenus par les entreprises françaises et bénéficiant d’une garantie</w:t>
      </w:r>
      <w:r w:rsidR="00E04298">
        <w:rPr>
          <w:rFonts w:ascii="Arial" w:hAnsi="Arial" w:cs="Arial"/>
          <w:noProof/>
          <w:color w:val="5E514D"/>
          <w:sz w:val="22"/>
        </w:rPr>
        <w:t xml:space="preserve"> de Bpifrance Assurance Export</w:t>
      </w:r>
      <w:r w:rsidR="00E04298" w:rsidRPr="009021A1">
        <w:rPr>
          <w:rFonts w:ascii="Arial" w:hAnsi="Arial" w:cs="Arial"/>
          <w:noProof/>
          <w:color w:val="5E514D"/>
          <w:sz w:val="22"/>
        </w:rPr>
        <w:t xml:space="preserve"> </w:t>
      </w:r>
      <w:r w:rsidR="00E04298">
        <w:rPr>
          <w:rFonts w:ascii="Arial" w:hAnsi="Arial" w:cs="Arial"/>
          <w:noProof/>
          <w:color w:val="5E514D"/>
          <w:sz w:val="22"/>
        </w:rPr>
        <w:t xml:space="preserve">agissant au nom </w:t>
      </w:r>
      <w:r w:rsidRPr="009021A1">
        <w:rPr>
          <w:rFonts w:ascii="Arial" w:hAnsi="Arial" w:cs="Arial"/>
          <w:noProof/>
          <w:color w:val="5E514D"/>
          <w:sz w:val="22"/>
        </w:rPr>
        <w:t xml:space="preserve">pour le compte </w:t>
      </w:r>
      <w:r w:rsidR="00E04298">
        <w:rPr>
          <w:rFonts w:ascii="Arial" w:hAnsi="Arial" w:cs="Arial"/>
          <w:noProof/>
          <w:color w:val="5E514D"/>
          <w:sz w:val="22"/>
        </w:rPr>
        <w:t xml:space="preserve">et sous le contrôle </w:t>
      </w:r>
      <w:r w:rsidRPr="009021A1">
        <w:rPr>
          <w:rFonts w:ascii="Arial" w:hAnsi="Arial" w:cs="Arial"/>
          <w:noProof/>
          <w:color w:val="5E514D"/>
          <w:sz w:val="22"/>
        </w:rPr>
        <w:t>de l’État sont publiées et mises à jour chaque trimestre.</w:t>
      </w:r>
    </w:p>
    <w:p w14:paraId="1B2095E0" w14:textId="77777777" w:rsidR="009021A1" w:rsidRPr="009021A1" w:rsidRDefault="009021A1" w:rsidP="009021A1">
      <w:pPr>
        <w:pStyle w:val="Textedesaisie"/>
        <w:rPr>
          <w:rFonts w:ascii="Arial" w:hAnsi="Arial" w:cs="Arial"/>
          <w:noProof/>
          <w:color w:val="5E514D"/>
          <w:sz w:val="22"/>
        </w:rPr>
      </w:pPr>
    </w:p>
    <w:p w14:paraId="143C6213" w14:textId="755EDC4F" w:rsidR="004769EE" w:rsidRPr="003B6368" w:rsidRDefault="009021A1" w:rsidP="003B6368">
      <w:pPr>
        <w:pStyle w:val="Textedesaisie"/>
        <w:rPr>
          <w:rFonts w:ascii="Arial" w:hAnsi="Arial" w:cs="Arial"/>
          <w:noProof/>
          <w:color w:val="5E514D"/>
          <w:sz w:val="22"/>
        </w:rPr>
      </w:pPr>
      <w:r w:rsidRPr="009021A1">
        <w:rPr>
          <w:rFonts w:ascii="Arial" w:hAnsi="Arial" w:cs="Arial"/>
          <w:noProof/>
          <w:color w:val="5E514D"/>
          <w:sz w:val="22"/>
        </w:rPr>
        <w:t xml:space="preserve">Outre les données relatives à l’exportateur, au contenu et au montant du contrat, le tableau décrit, pour les projets les plus significatifs, les données essentielles sur leurs conséquences en matière environnementale et sociale et, le cas échéant, les </w:t>
      </w:r>
      <w:r w:rsidRPr="006829BE">
        <w:rPr>
          <w:rFonts w:ascii="Arial" w:hAnsi="Arial" w:cs="Arial"/>
          <w:noProof/>
          <w:color w:val="5E514D"/>
          <w:sz w:val="22"/>
        </w:rPr>
        <w:t>exigences de</w:t>
      </w:r>
      <w:r w:rsidR="00E04298" w:rsidRPr="006829BE">
        <w:rPr>
          <w:rFonts w:ascii="Arial" w:hAnsi="Arial" w:cs="Arial"/>
          <w:noProof/>
          <w:color w:val="5E514D"/>
          <w:sz w:val="22"/>
        </w:rPr>
        <w:t xml:space="preserve"> Bpifrance Assurance Export </w:t>
      </w:r>
      <w:r w:rsidRPr="009021A1">
        <w:rPr>
          <w:rFonts w:ascii="Arial" w:hAnsi="Arial" w:cs="Arial"/>
          <w:noProof/>
          <w:color w:val="5E514D"/>
          <w:sz w:val="22"/>
        </w:rPr>
        <w:t xml:space="preserve">en la matière. </w:t>
      </w:r>
    </w:p>
    <w:p w14:paraId="6B8B397C" w14:textId="77777777" w:rsidR="009021A1" w:rsidRDefault="009021A1" w:rsidP="00441C79">
      <w:pPr>
        <w:jc w:val="both"/>
      </w:pPr>
    </w:p>
    <w:p w14:paraId="572927EE" w14:textId="1E5FC22E" w:rsidR="009021A1" w:rsidRPr="009021A1" w:rsidRDefault="009021A1" w:rsidP="000207D5">
      <w:pPr>
        <w:pStyle w:val="Titre1"/>
        <w:numPr>
          <w:ilvl w:val="0"/>
          <w:numId w:val="6"/>
        </w:numPr>
        <w:tabs>
          <w:tab w:val="left" w:pos="2127"/>
        </w:tabs>
        <w:jc w:val="both"/>
        <w:rPr>
          <w:color w:val="5E514D"/>
          <w:sz w:val="28"/>
        </w:rPr>
      </w:pPr>
      <w:bookmarkStart w:id="0" w:name="_Hlk22290037"/>
      <w:r w:rsidRPr="009021A1">
        <w:rPr>
          <w:rFonts w:ascii="Arial" w:hAnsi="Arial" w:cs="Arial"/>
          <w:color w:val="5E514D"/>
        </w:rPr>
        <w:t xml:space="preserve">Contrats à l’exportation supérieurs à 10 M€ et/ou ayant été classés sur le plan environnemental et social, garantis au cours du </w:t>
      </w:r>
      <w:r w:rsidR="00DD6DD8">
        <w:rPr>
          <w:rFonts w:ascii="Arial" w:hAnsi="Arial" w:cs="Arial"/>
          <w:color w:val="5E514D"/>
        </w:rPr>
        <w:t>4</w:t>
      </w:r>
      <w:r w:rsidR="00BF0D9B">
        <w:rPr>
          <w:rFonts w:ascii="Arial" w:hAnsi="Arial" w:cs="Arial"/>
          <w:color w:val="5E514D"/>
        </w:rPr>
        <w:t>e</w:t>
      </w:r>
      <w:r>
        <w:rPr>
          <w:rFonts w:ascii="Arial" w:hAnsi="Arial" w:cs="Arial"/>
          <w:color w:val="5E514D"/>
        </w:rPr>
        <w:t xml:space="preserve"> trimestre 201</w:t>
      </w:r>
      <w:r w:rsidR="003962F8">
        <w:rPr>
          <w:rFonts w:ascii="Arial" w:hAnsi="Arial" w:cs="Arial"/>
          <w:color w:val="5E514D"/>
        </w:rPr>
        <w:t>9</w:t>
      </w:r>
    </w:p>
    <w:bookmarkEnd w:id="0"/>
    <w:p w14:paraId="60EDC63A" w14:textId="77777777" w:rsidR="009021A1" w:rsidRDefault="009021A1" w:rsidP="009021A1">
      <w:pPr>
        <w:ind w:right="196"/>
        <w:rPr>
          <w:rFonts w:ascii="Cambria" w:hAnsi="Cambria"/>
          <w:sz w:val="24"/>
          <w:szCs w:val="24"/>
        </w:rPr>
      </w:pPr>
    </w:p>
    <w:tbl>
      <w:tblPr>
        <w:tblW w:w="14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63"/>
        <w:gridCol w:w="1818"/>
        <w:gridCol w:w="9355"/>
        <w:gridCol w:w="1689"/>
      </w:tblGrid>
      <w:tr w:rsidR="009021A1" w:rsidRPr="002F3C98" w14:paraId="4F4945E6" w14:textId="77777777" w:rsidTr="00474AA7">
        <w:trPr>
          <w:trHeight w:val="631"/>
          <w:tblHeader/>
          <w:jc w:val="center"/>
        </w:trPr>
        <w:tc>
          <w:tcPr>
            <w:tcW w:w="1863"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1CDA8713" w14:textId="77777777" w:rsidR="009021A1" w:rsidRPr="00060015" w:rsidRDefault="009021A1">
            <w:pPr>
              <w:pStyle w:val="Titre2"/>
              <w:rPr>
                <w:rFonts w:ascii="Arial" w:hAnsi="Arial" w:cs="Arial"/>
                <w:color w:val="FFFFFF" w:themeColor="background1"/>
                <w:sz w:val="22"/>
                <w:szCs w:val="24"/>
              </w:rPr>
            </w:pPr>
            <w:r w:rsidRPr="00060015">
              <w:rPr>
                <w:rFonts w:ascii="Arial" w:hAnsi="Arial" w:cs="Arial"/>
                <w:color w:val="FFFFFF" w:themeColor="background1"/>
                <w:sz w:val="22"/>
                <w:szCs w:val="24"/>
              </w:rPr>
              <w:t>Pays</w:t>
            </w:r>
          </w:p>
        </w:tc>
        <w:tc>
          <w:tcPr>
            <w:tcW w:w="1818"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067C9BE1" w14:textId="77777777" w:rsidR="009021A1" w:rsidRPr="00060015" w:rsidRDefault="009021A1">
            <w:pPr>
              <w:jc w:val="center"/>
              <w:rPr>
                <w:rFonts w:ascii="Arial" w:hAnsi="Arial" w:cs="Arial"/>
                <w:b/>
                <w:color w:val="FFFFFF" w:themeColor="background1"/>
                <w:sz w:val="22"/>
                <w:szCs w:val="24"/>
              </w:rPr>
            </w:pPr>
            <w:r w:rsidRPr="00060015">
              <w:rPr>
                <w:rFonts w:ascii="Arial" w:hAnsi="Arial" w:cs="Arial"/>
                <w:b/>
                <w:color w:val="FFFFFF" w:themeColor="background1"/>
                <w:sz w:val="22"/>
                <w:szCs w:val="24"/>
              </w:rPr>
              <w:t>Entreprise</w:t>
            </w:r>
          </w:p>
        </w:tc>
        <w:tc>
          <w:tcPr>
            <w:tcW w:w="9355"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7574AE26" w14:textId="77777777" w:rsidR="009021A1" w:rsidRPr="00060015" w:rsidRDefault="009021A1">
            <w:pPr>
              <w:pStyle w:val="Titre4"/>
              <w:tabs>
                <w:tab w:val="left" w:pos="708"/>
              </w:tabs>
              <w:rPr>
                <w:rFonts w:ascii="Arial" w:hAnsi="Arial" w:cs="Arial"/>
                <w:color w:val="FFFFFF" w:themeColor="background1"/>
                <w:sz w:val="22"/>
                <w:szCs w:val="24"/>
              </w:rPr>
            </w:pPr>
            <w:r w:rsidRPr="00060015">
              <w:rPr>
                <w:rFonts w:ascii="Arial" w:hAnsi="Arial" w:cs="Arial"/>
                <w:color w:val="FFFFFF" w:themeColor="background1"/>
                <w:sz w:val="22"/>
                <w:szCs w:val="24"/>
              </w:rPr>
              <w:t>Objet</w:t>
            </w:r>
          </w:p>
        </w:tc>
        <w:tc>
          <w:tcPr>
            <w:tcW w:w="1689"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1849D67A" w14:textId="77777777" w:rsidR="009021A1" w:rsidRPr="00060015" w:rsidRDefault="009021A1">
            <w:pPr>
              <w:spacing w:before="60"/>
              <w:jc w:val="center"/>
              <w:rPr>
                <w:rFonts w:ascii="Arial" w:hAnsi="Arial" w:cs="Arial"/>
                <w:b/>
                <w:color w:val="FFFFFF" w:themeColor="background1"/>
                <w:sz w:val="22"/>
                <w:szCs w:val="24"/>
              </w:rPr>
            </w:pPr>
            <w:r w:rsidRPr="00060015">
              <w:rPr>
                <w:rFonts w:ascii="Arial" w:hAnsi="Arial" w:cs="Arial"/>
                <w:b/>
                <w:color w:val="FFFFFF" w:themeColor="background1"/>
                <w:sz w:val="22"/>
                <w:szCs w:val="24"/>
              </w:rPr>
              <w:t>Montant</w:t>
            </w:r>
          </w:p>
          <w:p w14:paraId="63B5C4BC" w14:textId="77777777" w:rsidR="009021A1" w:rsidRPr="00060015" w:rsidRDefault="009021A1">
            <w:pPr>
              <w:spacing w:after="60"/>
              <w:jc w:val="center"/>
              <w:rPr>
                <w:rFonts w:ascii="Arial" w:hAnsi="Arial" w:cs="Arial"/>
                <w:i/>
                <w:color w:val="FFFFFF" w:themeColor="background1"/>
                <w:sz w:val="22"/>
                <w:szCs w:val="24"/>
              </w:rPr>
            </w:pPr>
            <w:r w:rsidRPr="00060015">
              <w:rPr>
                <w:rFonts w:ascii="Arial" w:hAnsi="Arial" w:cs="Arial"/>
                <w:b/>
                <w:color w:val="FFFFFF" w:themeColor="background1"/>
                <w:sz w:val="22"/>
                <w:szCs w:val="24"/>
              </w:rPr>
              <w:t>garanti</w:t>
            </w:r>
          </w:p>
        </w:tc>
      </w:tr>
      <w:tr w:rsidR="00FF1B96" w:rsidRPr="002F3C98" w14:paraId="3C633317" w14:textId="77777777" w:rsidTr="00474AA7">
        <w:trPr>
          <w:trHeight w:val="1380"/>
          <w:jc w:val="center"/>
        </w:trPr>
        <w:tc>
          <w:tcPr>
            <w:tcW w:w="1863" w:type="dxa"/>
            <w:tcBorders>
              <w:top w:val="single" w:sz="4" w:space="0" w:color="auto"/>
              <w:left w:val="single" w:sz="4" w:space="0" w:color="auto"/>
              <w:bottom w:val="single" w:sz="4" w:space="0" w:color="auto"/>
              <w:right w:val="single" w:sz="4" w:space="0" w:color="auto"/>
            </w:tcBorders>
            <w:shd w:val="clear" w:color="000000" w:fill="FFFFFF"/>
            <w:vAlign w:val="center"/>
          </w:tcPr>
          <w:p w14:paraId="7CEB9C44" w14:textId="4CD7DA44" w:rsidR="00FF1B96" w:rsidRPr="00A346C1" w:rsidRDefault="00A346C1" w:rsidP="00CC2182">
            <w:pPr>
              <w:spacing w:before="240"/>
              <w:jc w:val="center"/>
              <w:rPr>
                <w:rFonts w:ascii="Arial" w:hAnsi="Arial" w:cs="Arial"/>
                <w:bCs/>
                <w:color w:val="525252" w:themeColor="accent3" w:themeShade="80"/>
                <w:szCs w:val="24"/>
              </w:rPr>
            </w:pPr>
            <w:r>
              <w:rPr>
                <w:rFonts w:ascii="Arial" w:hAnsi="Arial" w:cs="Arial"/>
                <w:bCs/>
                <w:color w:val="525252" w:themeColor="accent3" w:themeShade="80"/>
                <w:szCs w:val="24"/>
              </w:rPr>
              <w:t>ANGOLA</w:t>
            </w:r>
          </w:p>
        </w:tc>
        <w:tc>
          <w:tcPr>
            <w:tcW w:w="1818" w:type="dxa"/>
            <w:tcBorders>
              <w:top w:val="single" w:sz="4" w:space="0" w:color="auto"/>
              <w:left w:val="nil"/>
              <w:bottom w:val="single" w:sz="4" w:space="0" w:color="auto"/>
              <w:right w:val="single" w:sz="4" w:space="0" w:color="auto"/>
            </w:tcBorders>
            <w:shd w:val="clear" w:color="000000" w:fill="FFFFFF"/>
            <w:vAlign w:val="center"/>
          </w:tcPr>
          <w:p w14:paraId="75D6E7B1" w14:textId="152EF12E" w:rsidR="00FF1B96" w:rsidRDefault="00F74EE3" w:rsidP="00CC2182">
            <w:pPr>
              <w:spacing w:before="240" w:line="276" w:lineRule="auto"/>
              <w:jc w:val="center"/>
              <w:rPr>
                <w:rFonts w:ascii="Arial" w:hAnsi="Arial" w:cs="Arial"/>
                <w:bCs/>
                <w:color w:val="525252" w:themeColor="accent3" w:themeShade="80"/>
                <w:szCs w:val="24"/>
              </w:rPr>
            </w:pPr>
            <w:r>
              <w:rPr>
                <w:rFonts w:ascii="Arial" w:hAnsi="Arial" w:cs="Arial"/>
                <w:bCs/>
                <w:color w:val="525252" w:themeColor="accent3" w:themeShade="80"/>
                <w:szCs w:val="24"/>
              </w:rPr>
              <w:t>M</w:t>
            </w:r>
            <w:r w:rsidR="00474AA7">
              <w:rPr>
                <w:rFonts w:ascii="Arial" w:hAnsi="Arial" w:cs="Arial"/>
                <w:bCs/>
                <w:color w:val="525252" w:themeColor="accent3" w:themeShade="80"/>
                <w:szCs w:val="24"/>
              </w:rPr>
              <w:t xml:space="preserve">ETEO FRANCE </w:t>
            </w:r>
            <w:r>
              <w:rPr>
                <w:rFonts w:ascii="Arial" w:hAnsi="Arial" w:cs="Arial"/>
                <w:bCs/>
                <w:color w:val="525252" w:themeColor="accent3" w:themeShade="80"/>
                <w:szCs w:val="24"/>
              </w:rPr>
              <w:t>I</w:t>
            </w:r>
            <w:r w:rsidR="00474AA7">
              <w:rPr>
                <w:rFonts w:ascii="Arial" w:hAnsi="Arial" w:cs="Arial"/>
                <w:bCs/>
                <w:color w:val="525252" w:themeColor="accent3" w:themeShade="80"/>
                <w:szCs w:val="24"/>
              </w:rPr>
              <w:t>NTERNATIONAL</w:t>
            </w:r>
          </w:p>
        </w:tc>
        <w:tc>
          <w:tcPr>
            <w:tcW w:w="9355" w:type="dxa"/>
            <w:tcBorders>
              <w:top w:val="single" w:sz="4" w:space="0" w:color="auto"/>
              <w:left w:val="nil"/>
              <w:bottom w:val="single" w:sz="4" w:space="0" w:color="auto"/>
              <w:right w:val="single" w:sz="4" w:space="0" w:color="auto"/>
            </w:tcBorders>
            <w:shd w:val="clear" w:color="000000" w:fill="FFFFFF"/>
          </w:tcPr>
          <w:p w14:paraId="51BEA657" w14:textId="7170267B" w:rsidR="00A346C1" w:rsidRDefault="00A346C1" w:rsidP="00CC2182">
            <w:pPr>
              <w:spacing w:before="240" w:line="276" w:lineRule="auto"/>
              <w:rPr>
                <w:rFonts w:ascii="Arial" w:hAnsi="Arial" w:cs="Arial"/>
                <w:bCs/>
                <w:color w:val="525252" w:themeColor="accent3" w:themeShade="80"/>
                <w:szCs w:val="24"/>
              </w:rPr>
            </w:pPr>
            <w:r w:rsidRPr="00A346C1">
              <w:rPr>
                <w:rFonts w:ascii="Arial" w:hAnsi="Arial" w:cs="Arial"/>
                <w:bCs/>
                <w:color w:val="525252" w:themeColor="accent3" w:themeShade="80"/>
                <w:szCs w:val="24"/>
              </w:rPr>
              <w:t>Fourniture clé en main de systèmes d'observation et de traitement de l'information météorologique et services transverses</w:t>
            </w:r>
            <w:r w:rsidR="00784B70">
              <w:rPr>
                <w:rFonts w:ascii="Arial" w:hAnsi="Arial" w:cs="Arial"/>
                <w:bCs/>
                <w:color w:val="525252" w:themeColor="accent3" w:themeShade="80"/>
                <w:szCs w:val="24"/>
              </w:rPr>
              <w:t>.</w:t>
            </w:r>
          </w:p>
          <w:p w14:paraId="2CBCC591" w14:textId="77777777" w:rsidR="00474AA7" w:rsidRDefault="00474AA7" w:rsidP="00CC2182">
            <w:pPr>
              <w:spacing w:before="240" w:line="276" w:lineRule="auto"/>
              <w:rPr>
                <w:rFonts w:ascii="Arial" w:hAnsi="Arial" w:cs="Arial"/>
                <w:bCs/>
                <w:color w:val="525252" w:themeColor="accent3" w:themeShade="80"/>
                <w:szCs w:val="24"/>
              </w:rPr>
            </w:pPr>
            <w:r w:rsidRPr="00474AA7">
              <w:rPr>
                <w:rFonts w:ascii="Arial" w:hAnsi="Arial" w:cs="Arial"/>
                <w:bCs/>
                <w:color w:val="525252" w:themeColor="accent3" w:themeShade="80"/>
                <w:szCs w:val="24"/>
              </w:rPr>
              <w:t xml:space="preserve">Le projet a été classé en catégorie C suivant les Approches Communes. </w:t>
            </w:r>
          </w:p>
          <w:p w14:paraId="1610C198" w14:textId="551549CB" w:rsidR="00474AA7" w:rsidRDefault="00474AA7" w:rsidP="00CC2182">
            <w:pPr>
              <w:spacing w:before="240" w:line="276" w:lineRule="auto"/>
              <w:rPr>
                <w:rFonts w:ascii="Arial" w:hAnsi="Arial" w:cs="Arial"/>
                <w:bCs/>
                <w:color w:val="525252" w:themeColor="accent3" w:themeShade="80"/>
                <w:szCs w:val="24"/>
              </w:rPr>
            </w:pPr>
            <w:r w:rsidRPr="00474AA7">
              <w:rPr>
                <w:rFonts w:ascii="Arial" w:hAnsi="Arial" w:cs="Arial"/>
                <w:bCs/>
                <w:color w:val="525252" w:themeColor="accent3" w:themeShade="80"/>
                <w:szCs w:val="24"/>
              </w:rPr>
              <w:t>Il ne fera pas l’objet d’un suivi environnemental et social spécifique.</w:t>
            </w:r>
          </w:p>
          <w:p w14:paraId="50836F68" w14:textId="1A003C29" w:rsidR="00474AA7" w:rsidRDefault="00474AA7" w:rsidP="00CC2182">
            <w:pPr>
              <w:spacing w:before="240" w:line="276" w:lineRule="auto"/>
              <w:rPr>
                <w:rFonts w:ascii="Arial" w:hAnsi="Arial" w:cs="Arial"/>
                <w:bCs/>
                <w:color w:val="525252" w:themeColor="accent3" w:themeShade="80"/>
                <w:szCs w:val="24"/>
              </w:rPr>
            </w:pPr>
          </w:p>
        </w:tc>
        <w:tc>
          <w:tcPr>
            <w:tcW w:w="1689" w:type="dxa"/>
            <w:tcBorders>
              <w:top w:val="single" w:sz="4" w:space="0" w:color="auto"/>
              <w:left w:val="nil"/>
              <w:bottom w:val="single" w:sz="4" w:space="0" w:color="auto"/>
              <w:right w:val="single" w:sz="4" w:space="0" w:color="auto"/>
            </w:tcBorders>
            <w:shd w:val="clear" w:color="000000" w:fill="FFFFFF"/>
            <w:vAlign w:val="center"/>
          </w:tcPr>
          <w:p w14:paraId="5D55B73B" w14:textId="7CFDACB4" w:rsidR="00FF1B96" w:rsidRDefault="00A346C1" w:rsidP="00CC2182">
            <w:pPr>
              <w:spacing w:before="240"/>
              <w:jc w:val="center"/>
              <w:rPr>
                <w:rFonts w:ascii="Arial" w:hAnsi="Arial" w:cs="Arial"/>
                <w:color w:val="525252" w:themeColor="accent3" w:themeShade="80"/>
                <w:sz w:val="22"/>
                <w:szCs w:val="22"/>
              </w:rPr>
            </w:pPr>
            <w:r>
              <w:rPr>
                <w:rFonts w:ascii="Arial" w:hAnsi="Arial" w:cs="Arial"/>
                <w:color w:val="525252" w:themeColor="accent3" w:themeShade="80"/>
                <w:sz w:val="22"/>
                <w:szCs w:val="22"/>
              </w:rPr>
              <w:t>61,1 M€</w:t>
            </w:r>
          </w:p>
        </w:tc>
      </w:tr>
      <w:tr w:rsidR="00A346C1" w:rsidRPr="002F3C98" w14:paraId="35AE9A91" w14:textId="77777777" w:rsidTr="00474AA7">
        <w:trPr>
          <w:trHeight w:val="1725"/>
          <w:jc w:val="center"/>
        </w:trPr>
        <w:tc>
          <w:tcPr>
            <w:tcW w:w="1863" w:type="dxa"/>
            <w:tcBorders>
              <w:top w:val="single" w:sz="4" w:space="0" w:color="auto"/>
              <w:left w:val="single" w:sz="4" w:space="0" w:color="auto"/>
              <w:bottom w:val="single" w:sz="4" w:space="0" w:color="auto"/>
              <w:right w:val="single" w:sz="4" w:space="0" w:color="auto"/>
            </w:tcBorders>
            <w:shd w:val="clear" w:color="000000" w:fill="FFFFFF"/>
            <w:vAlign w:val="center"/>
          </w:tcPr>
          <w:p w14:paraId="110172A1" w14:textId="6707FAC2" w:rsidR="00A346C1" w:rsidRPr="003D65C8" w:rsidRDefault="00A346C1" w:rsidP="00CC2182">
            <w:pPr>
              <w:spacing w:before="240"/>
              <w:jc w:val="center"/>
              <w:rPr>
                <w:rFonts w:ascii="Arial" w:hAnsi="Arial" w:cs="Arial"/>
                <w:bCs/>
                <w:color w:val="525252" w:themeColor="accent3" w:themeShade="80"/>
                <w:szCs w:val="24"/>
              </w:rPr>
            </w:pPr>
            <w:r>
              <w:rPr>
                <w:rFonts w:ascii="Arial" w:hAnsi="Arial" w:cs="Arial"/>
                <w:bCs/>
                <w:color w:val="525252" w:themeColor="accent3" w:themeShade="80"/>
                <w:szCs w:val="24"/>
              </w:rPr>
              <w:lastRenderedPageBreak/>
              <w:t xml:space="preserve">COTE D’IVOIRE </w:t>
            </w:r>
          </w:p>
        </w:tc>
        <w:tc>
          <w:tcPr>
            <w:tcW w:w="1818" w:type="dxa"/>
            <w:tcBorders>
              <w:top w:val="single" w:sz="4" w:space="0" w:color="auto"/>
              <w:left w:val="nil"/>
              <w:bottom w:val="single" w:sz="4" w:space="0" w:color="auto"/>
              <w:right w:val="single" w:sz="4" w:space="0" w:color="auto"/>
            </w:tcBorders>
            <w:shd w:val="clear" w:color="000000" w:fill="FFFFFF"/>
            <w:vAlign w:val="center"/>
          </w:tcPr>
          <w:p w14:paraId="7F973891" w14:textId="382BDF5C" w:rsidR="00A346C1" w:rsidRDefault="00A346C1" w:rsidP="00CC2182">
            <w:pPr>
              <w:spacing w:before="240" w:line="276" w:lineRule="auto"/>
              <w:jc w:val="center"/>
              <w:rPr>
                <w:rFonts w:ascii="Arial" w:hAnsi="Arial" w:cs="Arial"/>
                <w:bCs/>
                <w:color w:val="525252" w:themeColor="accent3" w:themeShade="80"/>
                <w:szCs w:val="24"/>
              </w:rPr>
            </w:pPr>
            <w:r>
              <w:rPr>
                <w:rFonts w:ascii="Arial" w:hAnsi="Arial" w:cs="Arial"/>
                <w:bCs/>
                <w:color w:val="525252" w:themeColor="accent3" w:themeShade="80"/>
                <w:szCs w:val="24"/>
              </w:rPr>
              <w:t>VAMED</w:t>
            </w:r>
          </w:p>
        </w:tc>
        <w:tc>
          <w:tcPr>
            <w:tcW w:w="9355" w:type="dxa"/>
            <w:tcBorders>
              <w:top w:val="single" w:sz="4" w:space="0" w:color="auto"/>
              <w:left w:val="nil"/>
              <w:bottom w:val="single" w:sz="4" w:space="0" w:color="auto"/>
              <w:right w:val="single" w:sz="4" w:space="0" w:color="auto"/>
            </w:tcBorders>
            <w:shd w:val="clear" w:color="000000" w:fill="FFFFFF"/>
          </w:tcPr>
          <w:p w14:paraId="4972E7D7" w14:textId="03BE06C7" w:rsidR="003D498A" w:rsidRDefault="00A346C1" w:rsidP="00CC2182">
            <w:pPr>
              <w:spacing w:before="240" w:line="276" w:lineRule="auto"/>
              <w:rPr>
                <w:rFonts w:ascii="Arial" w:hAnsi="Arial" w:cs="Arial"/>
                <w:bCs/>
                <w:color w:val="525252" w:themeColor="accent3" w:themeShade="80"/>
                <w:szCs w:val="24"/>
              </w:rPr>
            </w:pPr>
            <w:r w:rsidRPr="00A346C1">
              <w:rPr>
                <w:rFonts w:ascii="Arial" w:hAnsi="Arial" w:cs="Arial"/>
                <w:bCs/>
                <w:color w:val="525252" w:themeColor="accent3" w:themeShade="80"/>
                <w:szCs w:val="24"/>
              </w:rPr>
              <w:t xml:space="preserve">Construction et équipement clés en main de </w:t>
            </w:r>
            <w:bookmarkStart w:id="1" w:name="_GoBack"/>
            <w:bookmarkEnd w:id="1"/>
            <w:r w:rsidRPr="00A346C1">
              <w:rPr>
                <w:rFonts w:ascii="Arial" w:hAnsi="Arial" w:cs="Arial"/>
                <w:bCs/>
                <w:color w:val="525252" w:themeColor="accent3" w:themeShade="80"/>
                <w:szCs w:val="24"/>
              </w:rPr>
              <w:t>4 hôpitaux généraux de 100 lits chacun possédant chacun un pôle de spécialité</w:t>
            </w:r>
            <w:r>
              <w:rPr>
                <w:rFonts w:ascii="Arial" w:hAnsi="Arial" w:cs="Arial"/>
                <w:bCs/>
                <w:color w:val="525252" w:themeColor="accent3" w:themeShade="80"/>
                <w:szCs w:val="24"/>
              </w:rPr>
              <w:t xml:space="preserve"> </w:t>
            </w:r>
            <w:r w:rsidRPr="00A346C1">
              <w:rPr>
                <w:rFonts w:ascii="Arial" w:hAnsi="Arial" w:cs="Arial"/>
                <w:bCs/>
                <w:color w:val="525252" w:themeColor="accent3" w:themeShade="80"/>
                <w:szCs w:val="24"/>
              </w:rPr>
              <w:t xml:space="preserve">: neurochirurgie, néphrologie, traumatologie et ophtalmologie.   </w:t>
            </w:r>
          </w:p>
          <w:p w14:paraId="03CD221B" w14:textId="3B17FB84" w:rsidR="003D498A" w:rsidRDefault="00A346C1" w:rsidP="00CC2182">
            <w:pPr>
              <w:spacing w:before="240" w:line="276" w:lineRule="auto"/>
              <w:rPr>
                <w:rFonts w:ascii="Arial" w:hAnsi="Arial" w:cs="Arial"/>
                <w:bCs/>
                <w:color w:val="525252" w:themeColor="accent3" w:themeShade="80"/>
                <w:szCs w:val="24"/>
              </w:rPr>
            </w:pPr>
            <w:r w:rsidRPr="00A346C1">
              <w:rPr>
                <w:rFonts w:ascii="Arial" w:hAnsi="Arial" w:cs="Arial"/>
                <w:bCs/>
                <w:color w:val="525252" w:themeColor="accent3" w:themeShade="80"/>
                <w:szCs w:val="24"/>
              </w:rPr>
              <w:t xml:space="preserve">Le projet a été classé en catégorie B conformément aux Approches Communes de l’OCDE. </w:t>
            </w:r>
          </w:p>
          <w:p w14:paraId="676207B6" w14:textId="21DAC7B5" w:rsidR="00A346C1" w:rsidRPr="00DD04C3" w:rsidRDefault="00A346C1" w:rsidP="00CC2182">
            <w:pPr>
              <w:spacing w:before="240" w:line="276" w:lineRule="auto"/>
              <w:rPr>
                <w:rFonts w:ascii="Arial" w:hAnsi="Arial" w:cs="Arial"/>
                <w:bCs/>
                <w:color w:val="525252" w:themeColor="accent3" w:themeShade="80"/>
                <w:szCs w:val="24"/>
              </w:rPr>
            </w:pPr>
            <w:r w:rsidRPr="00A346C1">
              <w:rPr>
                <w:rFonts w:ascii="Arial" w:hAnsi="Arial" w:cs="Arial"/>
                <w:bCs/>
                <w:color w:val="525252" w:themeColor="accent3" w:themeShade="80"/>
                <w:szCs w:val="24"/>
              </w:rPr>
              <w:t>Un suivi environnemental et social du projet sera réalisé par des consultants indépendants</w:t>
            </w:r>
            <w:r w:rsidR="00DD6DD8">
              <w:rPr>
                <w:rFonts w:ascii="Arial" w:hAnsi="Arial" w:cs="Arial"/>
                <w:bCs/>
                <w:color w:val="525252" w:themeColor="accent3" w:themeShade="80"/>
                <w:szCs w:val="24"/>
              </w:rPr>
              <w:t>.</w:t>
            </w:r>
            <w:r w:rsidRPr="00A346C1">
              <w:rPr>
                <w:rFonts w:ascii="Arial" w:hAnsi="Arial" w:cs="Arial"/>
                <w:bCs/>
                <w:color w:val="525252" w:themeColor="accent3" w:themeShade="80"/>
                <w:szCs w:val="24"/>
              </w:rPr>
              <w:t xml:space="preserve"> Des rapports de suivi seront remis en période de construction</w:t>
            </w:r>
            <w:r w:rsidR="00DD6DD8">
              <w:rPr>
                <w:rFonts w:ascii="Arial" w:hAnsi="Arial" w:cs="Arial"/>
                <w:bCs/>
                <w:color w:val="525252" w:themeColor="accent3" w:themeShade="80"/>
                <w:szCs w:val="24"/>
              </w:rPr>
              <w:t>.</w:t>
            </w:r>
          </w:p>
        </w:tc>
        <w:tc>
          <w:tcPr>
            <w:tcW w:w="1689" w:type="dxa"/>
            <w:tcBorders>
              <w:top w:val="single" w:sz="4" w:space="0" w:color="auto"/>
              <w:left w:val="nil"/>
              <w:bottom w:val="single" w:sz="4" w:space="0" w:color="auto"/>
              <w:right w:val="single" w:sz="4" w:space="0" w:color="auto"/>
            </w:tcBorders>
            <w:shd w:val="clear" w:color="000000" w:fill="FFFFFF"/>
            <w:vAlign w:val="center"/>
          </w:tcPr>
          <w:p w14:paraId="36CEC6D5" w14:textId="258E7246" w:rsidR="00A346C1" w:rsidRDefault="00A346C1" w:rsidP="00CC2182">
            <w:pPr>
              <w:spacing w:before="240"/>
              <w:jc w:val="center"/>
              <w:rPr>
                <w:rFonts w:ascii="Arial" w:hAnsi="Arial" w:cs="Arial"/>
                <w:color w:val="525252" w:themeColor="accent3" w:themeShade="80"/>
                <w:sz w:val="22"/>
                <w:szCs w:val="22"/>
              </w:rPr>
            </w:pPr>
            <w:r>
              <w:rPr>
                <w:rFonts w:ascii="Arial" w:hAnsi="Arial" w:cs="Arial"/>
                <w:color w:val="525252" w:themeColor="accent3" w:themeShade="80"/>
                <w:sz w:val="22"/>
                <w:szCs w:val="22"/>
              </w:rPr>
              <w:t>131,6 M€</w:t>
            </w:r>
          </w:p>
        </w:tc>
      </w:tr>
      <w:tr w:rsidR="00A346C1" w:rsidRPr="002F3C98" w14:paraId="6B3CCFF0" w14:textId="77777777" w:rsidTr="00474AA7">
        <w:trPr>
          <w:trHeight w:val="916"/>
          <w:jc w:val="center"/>
        </w:trPr>
        <w:tc>
          <w:tcPr>
            <w:tcW w:w="1863" w:type="dxa"/>
            <w:tcBorders>
              <w:top w:val="single" w:sz="4" w:space="0" w:color="auto"/>
              <w:left w:val="single" w:sz="4" w:space="0" w:color="auto"/>
              <w:bottom w:val="single" w:sz="4" w:space="0" w:color="auto"/>
              <w:right w:val="single" w:sz="4" w:space="0" w:color="auto"/>
            </w:tcBorders>
            <w:shd w:val="clear" w:color="000000" w:fill="FFFFFF"/>
            <w:vAlign w:val="center"/>
          </w:tcPr>
          <w:p w14:paraId="780607EF" w14:textId="6142BA69" w:rsidR="00A346C1" w:rsidRPr="003D65C8" w:rsidRDefault="00A346C1" w:rsidP="00CC2182">
            <w:pPr>
              <w:spacing w:before="240"/>
              <w:jc w:val="center"/>
              <w:rPr>
                <w:rFonts w:ascii="Arial" w:hAnsi="Arial" w:cs="Arial"/>
                <w:bCs/>
                <w:color w:val="525252" w:themeColor="accent3" w:themeShade="80"/>
                <w:szCs w:val="24"/>
              </w:rPr>
            </w:pPr>
            <w:r>
              <w:rPr>
                <w:rFonts w:ascii="Arial" w:hAnsi="Arial" w:cs="Arial"/>
                <w:bCs/>
                <w:color w:val="525252" w:themeColor="accent3" w:themeShade="80"/>
                <w:szCs w:val="24"/>
              </w:rPr>
              <w:t>GRECE</w:t>
            </w:r>
          </w:p>
        </w:tc>
        <w:tc>
          <w:tcPr>
            <w:tcW w:w="1818" w:type="dxa"/>
            <w:tcBorders>
              <w:top w:val="single" w:sz="4" w:space="0" w:color="auto"/>
              <w:left w:val="nil"/>
              <w:bottom w:val="single" w:sz="4" w:space="0" w:color="auto"/>
              <w:right w:val="single" w:sz="4" w:space="0" w:color="auto"/>
            </w:tcBorders>
            <w:shd w:val="clear" w:color="000000" w:fill="FFFFFF"/>
            <w:vAlign w:val="center"/>
          </w:tcPr>
          <w:p w14:paraId="1A6B5C1B" w14:textId="7343A349" w:rsidR="00A346C1" w:rsidRDefault="00A346C1" w:rsidP="00CC2182">
            <w:pPr>
              <w:spacing w:before="240" w:line="276" w:lineRule="auto"/>
              <w:jc w:val="center"/>
              <w:rPr>
                <w:rFonts w:ascii="Arial" w:hAnsi="Arial" w:cs="Arial"/>
                <w:bCs/>
                <w:color w:val="525252" w:themeColor="accent3" w:themeShade="80"/>
                <w:szCs w:val="24"/>
              </w:rPr>
            </w:pPr>
            <w:r>
              <w:rPr>
                <w:rFonts w:ascii="Arial" w:hAnsi="Arial" w:cs="Arial"/>
                <w:bCs/>
                <w:color w:val="525252" w:themeColor="accent3" w:themeShade="80"/>
                <w:szCs w:val="24"/>
              </w:rPr>
              <w:t>PEUGEOT</w:t>
            </w:r>
          </w:p>
        </w:tc>
        <w:tc>
          <w:tcPr>
            <w:tcW w:w="9355" w:type="dxa"/>
            <w:tcBorders>
              <w:top w:val="single" w:sz="4" w:space="0" w:color="auto"/>
              <w:left w:val="nil"/>
              <w:bottom w:val="single" w:sz="4" w:space="0" w:color="auto"/>
              <w:right w:val="single" w:sz="4" w:space="0" w:color="auto"/>
            </w:tcBorders>
            <w:shd w:val="clear" w:color="000000" w:fill="FFFFFF"/>
          </w:tcPr>
          <w:p w14:paraId="075014EA" w14:textId="6F01CC6B" w:rsidR="003D498A" w:rsidRPr="00474AA7" w:rsidRDefault="00A346C1" w:rsidP="00CC2182">
            <w:pPr>
              <w:spacing w:before="240" w:line="276" w:lineRule="auto"/>
              <w:rPr>
                <w:rFonts w:ascii="Arial" w:hAnsi="Arial" w:cs="Arial"/>
                <w:bCs/>
                <w:color w:val="525252" w:themeColor="accent3" w:themeShade="80"/>
                <w:szCs w:val="24"/>
              </w:rPr>
            </w:pPr>
            <w:r>
              <w:rPr>
                <w:rFonts w:ascii="Arial" w:hAnsi="Arial" w:cs="Arial"/>
                <w:bCs/>
                <w:color w:val="525252" w:themeColor="accent3" w:themeShade="80"/>
                <w:szCs w:val="24"/>
              </w:rPr>
              <w:t>Fourniture de véhicules montés</w:t>
            </w:r>
            <w:r w:rsidR="003D498A">
              <w:rPr>
                <w:rFonts w:ascii="Arial" w:hAnsi="Arial" w:cs="Arial"/>
                <w:bCs/>
                <w:color w:val="525252" w:themeColor="accent3" w:themeShade="80"/>
                <w:szCs w:val="24"/>
              </w:rPr>
              <w:t>.</w:t>
            </w:r>
          </w:p>
          <w:tbl>
            <w:tblPr>
              <w:tblW w:w="0" w:type="auto"/>
              <w:tblBorders>
                <w:top w:val="nil"/>
                <w:left w:val="nil"/>
                <w:bottom w:val="nil"/>
                <w:right w:val="nil"/>
              </w:tblBorders>
              <w:tblLayout w:type="fixed"/>
              <w:tblLook w:val="0000" w:firstRow="0" w:lastRow="0" w:firstColumn="0" w:lastColumn="0" w:noHBand="0" w:noVBand="0"/>
            </w:tblPr>
            <w:tblGrid>
              <w:gridCol w:w="9020"/>
            </w:tblGrid>
            <w:tr w:rsidR="003D498A" w14:paraId="5A7D56FF" w14:textId="77777777">
              <w:trPr>
                <w:trHeight w:val="245"/>
              </w:trPr>
              <w:tc>
                <w:tcPr>
                  <w:tcW w:w="9020" w:type="dxa"/>
                </w:tcPr>
                <w:p w14:paraId="263F03B1" w14:textId="157F493C" w:rsidR="003D498A" w:rsidRDefault="003D498A" w:rsidP="00CC2182">
                  <w:pPr>
                    <w:pStyle w:val="Default"/>
                    <w:spacing w:before="240"/>
                    <w:ind w:left="-111"/>
                    <w:rPr>
                      <w:sz w:val="20"/>
                      <w:szCs w:val="20"/>
                    </w:rPr>
                  </w:pPr>
                  <w:r w:rsidRPr="00F74EE3">
                    <w:rPr>
                      <w:color w:val="525252" w:themeColor="accent3" w:themeShade="80"/>
                      <w:sz w:val="20"/>
                      <w:szCs w:val="20"/>
                    </w:rPr>
                    <w:t xml:space="preserve">Compte tenu de son objet, cette opération n’a pas fait l’objet d’une évaluation environnementale et sociale détaillée. </w:t>
                  </w:r>
                </w:p>
              </w:tc>
            </w:tr>
          </w:tbl>
          <w:p w14:paraId="772A36B1" w14:textId="77777777" w:rsidR="003D498A" w:rsidRPr="003D498A" w:rsidRDefault="003D498A" w:rsidP="00CC2182">
            <w:pPr>
              <w:spacing w:before="240"/>
              <w:rPr>
                <w:rFonts w:ascii="Arial" w:hAnsi="Arial" w:cs="Arial"/>
                <w:szCs w:val="24"/>
              </w:rPr>
            </w:pPr>
          </w:p>
        </w:tc>
        <w:tc>
          <w:tcPr>
            <w:tcW w:w="1689" w:type="dxa"/>
            <w:tcBorders>
              <w:top w:val="single" w:sz="4" w:space="0" w:color="auto"/>
              <w:left w:val="nil"/>
              <w:bottom w:val="single" w:sz="4" w:space="0" w:color="auto"/>
              <w:right w:val="single" w:sz="4" w:space="0" w:color="auto"/>
            </w:tcBorders>
            <w:shd w:val="clear" w:color="000000" w:fill="FFFFFF"/>
            <w:vAlign w:val="center"/>
          </w:tcPr>
          <w:p w14:paraId="11906344" w14:textId="30CDFC1B" w:rsidR="00A346C1" w:rsidRDefault="003D498A" w:rsidP="00CC2182">
            <w:pPr>
              <w:spacing w:before="240"/>
              <w:jc w:val="center"/>
              <w:rPr>
                <w:rFonts w:ascii="Arial" w:hAnsi="Arial" w:cs="Arial"/>
                <w:color w:val="525252" w:themeColor="accent3" w:themeShade="80"/>
                <w:sz w:val="22"/>
                <w:szCs w:val="22"/>
              </w:rPr>
            </w:pPr>
            <w:r>
              <w:rPr>
                <w:rFonts w:ascii="Arial" w:hAnsi="Arial" w:cs="Arial"/>
                <w:color w:val="525252" w:themeColor="accent3" w:themeShade="80"/>
                <w:sz w:val="22"/>
                <w:szCs w:val="22"/>
              </w:rPr>
              <w:t>18 M€</w:t>
            </w:r>
          </w:p>
        </w:tc>
      </w:tr>
      <w:tr w:rsidR="00A346C1" w:rsidRPr="002F3C98" w14:paraId="11F443F3" w14:textId="77777777" w:rsidTr="00474AA7">
        <w:trPr>
          <w:trHeight w:val="1116"/>
          <w:jc w:val="center"/>
        </w:trPr>
        <w:tc>
          <w:tcPr>
            <w:tcW w:w="1863" w:type="dxa"/>
            <w:tcBorders>
              <w:top w:val="single" w:sz="4" w:space="0" w:color="auto"/>
              <w:left w:val="single" w:sz="4" w:space="0" w:color="auto"/>
              <w:bottom w:val="single" w:sz="4" w:space="0" w:color="auto"/>
              <w:right w:val="single" w:sz="4" w:space="0" w:color="auto"/>
            </w:tcBorders>
            <w:shd w:val="clear" w:color="000000" w:fill="FFFFFF"/>
            <w:vAlign w:val="center"/>
          </w:tcPr>
          <w:p w14:paraId="3B82D766" w14:textId="57F462AB" w:rsidR="00A346C1" w:rsidRPr="003D65C8" w:rsidRDefault="003D498A" w:rsidP="00CC2182">
            <w:pPr>
              <w:spacing w:before="240"/>
              <w:jc w:val="center"/>
              <w:rPr>
                <w:rFonts w:ascii="Arial" w:hAnsi="Arial" w:cs="Arial"/>
                <w:bCs/>
                <w:color w:val="525252" w:themeColor="accent3" w:themeShade="80"/>
                <w:szCs w:val="24"/>
              </w:rPr>
            </w:pPr>
            <w:r>
              <w:rPr>
                <w:rFonts w:ascii="Arial" w:hAnsi="Arial" w:cs="Arial"/>
                <w:bCs/>
                <w:color w:val="525252" w:themeColor="accent3" w:themeShade="80"/>
                <w:szCs w:val="24"/>
              </w:rPr>
              <w:t>GRECE</w:t>
            </w:r>
          </w:p>
        </w:tc>
        <w:tc>
          <w:tcPr>
            <w:tcW w:w="1818" w:type="dxa"/>
            <w:tcBorders>
              <w:top w:val="single" w:sz="4" w:space="0" w:color="auto"/>
              <w:left w:val="nil"/>
              <w:bottom w:val="single" w:sz="4" w:space="0" w:color="auto"/>
              <w:right w:val="single" w:sz="4" w:space="0" w:color="auto"/>
            </w:tcBorders>
            <w:shd w:val="clear" w:color="000000" w:fill="FFFFFF"/>
            <w:vAlign w:val="center"/>
          </w:tcPr>
          <w:p w14:paraId="258E2A44" w14:textId="58318D9F" w:rsidR="00A346C1" w:rsidRDefault="003D498A" w:rsidP="00CC2182">
            <w:pPr>
              <w:spacing w:before="240" w:line="276" w:lineRule="auto"/>
              <w:jc w:val="center"/>
              <w:rPr>
                <w:rFonts w:ascii="Arial" w:hAnsi="Arial" w:cs="Arial"/>
                <w:bCs/>
                <w:color w:val="525252" w:themeColor="accent3" w:themeShade="80"/>
                <w:szCs w:val="24"/>
              </w:rPr>
            </w:pPr>
            <w:r>
              <w:rPr>
                <w:rFonts w:ascii="Arial" w:hAnsi="Arial" w:cs="Arial"/>
                <w:bCs/>
                <w:color w:val="525252" w:themeColor="accent3" w:themeShade="80"/>
                <w:szCs w:val="24"/>
              </w:rPr>
              <w:t>CITROËN</w:t>
            </w:r>
          </w:p>
        </w:tc>
        <w:tc>
          <w:tcPr>
            <w:tcW w:w="9355" w:type="dxa"/>
            <w:tcBorders>
              <w:top w:val="single" w:sz="4" w:space="0" w:color="auto"/>
              <w:left w:val="nil"/>
              <w:bottom w:val="single" w:sz="4" w:space="0" w:color="auto"/>
              <w:right w:val="single" w:sz="4" w:space="0" w:color="auto"/>
            </w:tcBorders>
            <w:shd w:val="clear" w:color="000000" w:fill="FFFFFF"/>
          </w:tcPr>
          <w:p w14:paraId="2DE89B34" w14:textId="042733FB" w:rsidR="003D498A" w:rsidRPr="00474AA7" w:rsidRDefault="003D498A" w:rsidP="00CC2182">
            <w:pPr>
              <w:spacing w:before="240" w:line="276" w:lineRule="auto"/>
              <w:rPr>
                <w:rFonts w:ascii="Arial" w:hAnsi="Arial" w:cs="Arial"/>
                <w:bCs/>
                <w:color w:val="525252" w:themeColor="accent3" w:themeShade="80"/>
                <w:szCs w:val="24"/>
              </w:rPr>
            </w:pPr>
            <w:r>
              <w:rPr>
                <w:rFonts w:ascii="Arial" w:hAnsi="Arial" w:cs="Arial"/>
                <w:bCs/>
                <w:color w:val="525252" w:themeColor="accent3" w:themeShade="80"/>
                <w:szCs w:val="24"/>
              </w:rPr>
              <w:t>Fourniture de véhicules montés.</w:t>
            </w:r>
          </w:p>
          <w:tbl>
            <w:tblPr>
              <w:tblW w:w="0" w:type="auto"/>
              <w:tblBorders>
                <w:top w:val="nil"/>
                <w:left w:val="nil"/>
                <w:bottom w:val="nil"/>
                <w:right w:val="nil"/>
              </w:tblBorders>
              <w:tblLayout w:type="fixed"/>
              <w:tblLook w:val="0000" w:firstRow="0" w:lastRow="0" w:firstColumn="0" w:lastColumn="0" w:noHBand="0" w:noVBand="0"/>
            </w:tblPr>
            <w:tblGrid>
              <w:gridCol w:w="9020"/>
            </w:tblGrid>
            <w:tr w:rsidR="003D498A" w14:paraId="6B50B2C7" w14:textId="77777777">
              <w:trPr>
                <w:trHeight w:val="245"/>
              </w:trPr>
              <w:tc>
                <w:tcPr>
                  <w:tcW w:w="9020" w:type="dxa"/>
                </w:tcPr>
                <w:p w14:paraId="4F96E80A" w14:textId="51FCC809" w:rsidR="003D498A" w:rsidRDefault="003D498A" w:rsidP="00CC2182">
                  <w:pPr>
                    <w:pStyle w:val="Default"/>
                    <w:spacing w:before="240"/>
                    <w:ind w:left="-111"/>
                    <w:rPr>
                      <w:sz w:val="20"/>
                      <w:szCs w:val="20"/>
                    </w:rPr>
                  </w:pPr>
                  <w:r w:rsidRPr="00F74EE3">
                    <w:rPr>
                      <w:color w:val="525252" w:themeColor="accent3" w:themeShade="80"/>
                      <w:sz w:val="20"/>
                      <w:szCs w:val="20"/>
                    </w:rPr>
                    <w:t xml:space="preserve">Compte tenu de son objet, cette opération n’a pas fait l’objet d’une évaluation environnementale et sociale détaillée. </w:t>
                  </w:r>
                </w:p>
              </w:tc>
            </w:tr>
          </w:tbl>
          <w:p w14:paraId="59F82DBF" w14:textId="7B7E4850" w:rsidR="003D498A" w:rsidRPr="00DD04C3" w:rsidRDefault="003D498A" w:rsidP="00CC2182">
            <w:pPr>
              <w:spacing w:before="240" w:line="276" w:lineRule="auto"/>
              <w:rPr>
                <w:rFonts w:ascii="Arial" w:hAnsi="Arial" w:cs="Arial"/>
                <w:bCs/>
                <w:color w:val="525252" w:themeColor="accent3" w:themeShade="80"/>
                <w:szCs w:val="24"/>
              </w:rPr>
            </w:pPr>
          </w:p>
        </w:tc>
        <w:tc>
          <w:tcPr>
            <w:tcW w:w="1689" w:type="dxa"/>
            <w:tcBorders>
              <w:top w:val="single" w:sz="4" w:space="0" w:color="auto"/>
              <w:left w:val="nil"/>
              <w:bottom w:val="single" w:sz="4" w:space="0" w:color="auto"/>
              <w:right w:val="single" w:sz="4" w:space="0" w:color="auto"/>
            </w:tcBorders>
            <w:shd w:val="clear" w:color="000000" w:fill="FFFFFF"/>
            <w:vAlign w:val="center"/>
          </w:tcPr>
          <w:p w14:paraId="20FFD753" w14:textId="0DA89FC9" w:rsidR="00A346C1" w:rsidRDefault="003D498A" w:rsidP="00CC2182">
            <w:pPr>
              <w:spacing w:before="240"/>
              <w:jc w:val="center"/>
              <w:rPr>
                <w:rFonts w:ascii="Arial" w:hAnsi="Arial" w:cs="Arial"/>
                <w:color w:val="525252" w:themeColor="accent3" w:themeShade="80"/>
                <w:sz w:val="22"/>
                <w:szCs w:val="22"/>
              </w:rPr>
            </w:pPr>
            <w:r>
              <w:rPr>
                <w:rFonts w:ascii="Arial" w:hAnsi="Arial" w:cs="Arial"/>
                <w:color w:val="525252" w:themeColor="accent3" w:themeShade="80"/>
                <w:sz w:val="22"/>
                <w:szCs w:val="22"/>
              </w:rPr>
              <w:t>22 M€</w:t>
            </w:r>
          </w:p>
        </w:tc>
      </w:tr>
      <w:tr w:rsidR="003D498A" w:rsidRPr="002F3C98" w14:paraId="3FA4F218" w14:textId="77777777" w:rsidTr="00474AA7">
        <w:trPr>
          <w:trHeight w:val="1116"/>
          <w:jc w:val="center"/>
        </w:trPr>
        <w:tc>
          <w:tcPr>
            <w:tcW w:w="1863" w:type="dxa"/>
            <w:tcBorders>
              <w:top w:val="single" w:sz="4" w:space="0" w:color="auto"/>
              <w:left w:val="single" w:sz="4" w:space="0" w:color="auto"/>
              <w:bottom w:val="single" w:sz="4" w:space="0" w:color="auto"/>
              <w:right w:val="single" w:sz="4" w:space="0" w:color="auto"/>
            </w:tcBorders>
            <w:shd w:val="clear" w:color="000000" w:fill="FFFFFF"/>
            <w:vAlign w:val="center"/>
          </w:tcPr>
          <w:p w14:paraId="1FD0241C" w14:textId="7CD13271" w:rsidR="003D498A" w:rsidRDefault="003D498A" w:rsidP="00CC2182">
            <w:pPr>
              <w:spacing w:before="240"/>
              <w:jc w:val="center"/>
              <w:rPr>
                <w:rFonts w:ascii="Arial" w:hAnsi="Arial" w:cs="Arial"/>
                <w:bCs/>
                <w:color w:val="525252" w:themeColor="accent3" w:themeShade="80"/>
                <w:szCs w:val="24"/>
              </w:rPr>
            </w:pPr>
            <w:r w:rsidRPr="003D498A">
              <w:rPr>
                <w:rFonts w:ascii="Arial" w:hAnsi="Arial" w:cs="Arial"/>
                <w:bCs/>
                <w:color w:val="525252" w:themeColor="accent3" w:themeShade="80"/>
                <w:szCs w:val="24"/>
              </w:rPr>
              <w:t>INDE</w:t>
            </w:r>
          </w:p>
        </w:tc>
        <w:tc>
          <w:tcPr>
            <w:tcW w:w="1818" w:type="dxa"/>
            <w:tcBorders>
              <w:top w:val="single" w:sz="4" w:space="0" w:color="auto"/>
              <w:left w:val="nil"/>
              <w:bottom w:val="single" w:sz="4" w:space="0" w:color="auto"/>
              <w:right w:val="single" w:sz="4" w:space="0" w:color="auto"/>
            </w:tcBorders>
            <w:shd w:val="clear" w:color="000000" w:fill="FFFFFF"/>
            <w:vAlign w:val="center"/>
          </w:tcPr>
          <w:p w14:paraId="0F0601D1" w14:textId="10569FF8" w:rsidR="003D498A" w:rsidRDefault="003D498A" w:rsidP="00CC2182">
            <w:pPr>
              <w:spacing w:before="240" w:line="276" w:lineRule="auto"/>
              <w:jc w:val="center"/>
              <w:rPr>
                <w:rFonts w:ascii="Arial" w:hAnsi="Arial" w:cs="Arial"/>
                <w:bCs/>
                <w:color w:val="525252" w:themeColor="accent3" w:themeShade="80"/>
                <w:szCs w:val="24"/>
              </w:rPr>
            </w:pPr>
            <w:r>
              <w:rPr>
                <w:rFonts w:ascii="Arial" w:hAnsi="Arial" w:cs="Arial"/>
                <w:bCs/>
                <w:color w:val="525252" w:themeColor="accent3" w:themeShade="80"/>
                <w:szCs w:val="24"/>
              </w:rPr>
              <w:t>ALLIMAND</w:t>
            </w:r>
          </w:p>
        </w:tc>
        <w:tc>
          <w:tcPr>
            <w:tcW w:w="9355" w:type="dxa"/>
            <w:tcBorders>
              <w:top w:val="single" w:sz="4" w:space="0" w:color="auto"/>
              <w:left w:val="nil"/>
              <w:bottom w:val="single" w:sz="4" w:space="0" w:color="auto"/>
              <w:right w:val="single" w:sz="4" w:space="0" w:color="auto"/>
            </w:tcBorders>
            <w:shd w:val="clear" w:color="000000" w:fill="FFFFFF"/>
          </w:tcPr>
          <w:p w14:paraId="7581476F" w14:textId="77777777" w:rsidR="003D498A" w:rsidRDefault="003D498A" w:rsidP="00CC2182">
            <w:pPr>
              <w:spacing w:before="240" w:line="276" w:lineRule="auto"/>
              <w:rPr>
                <w:rFonts w:ascii="Arial" w:hAnsi="Arial" w:cs="Arial"/>
                <w:bCs/>
                <w:color w:val="525252" w:themeColor="accent3" w:themeShade="80"/>
                <w:szCs w:val="24"/>
              </w:rPr>
            </w:pPr>
            <w:r>
              <w:rPr>
                <w:rFonts w:ascii="Arial" w:hAnsi="Arial" w:cs="Arial"/>
                <w:bCs/>
                <w:color w:val="525252" w:themeColor="accent3" w:themeShade="80"/>
                <w:szCs w:val="24"/>
              </w:rPr>
              <w:t>Fourniture d’une machine de fabrication de papier</w:t>
            </w:r>
            <w:r w:rsidR="00474AA7">
              <w:rPr>
                <w:rFonts w:ascii="Arial" w:hAnsi="Arial" w:cs="Arial"/>
                <w:bCs/>
                <w:color w:val="525252" w:themeColor="accent3" w:themeShade="80"/>
                <w:szCs w:val="24"/>
              </w:rPr>
              <w:t>.</w:t>
            </w:r>
          </w:p>
          <w:p w14:paraId="50183005" w14:textId="77777777" w:rsidR="00474AA7" w:rsidRDefault="00474AA7" w:rsidP="00CC2182">
            <w:pPr>
              <w:spacing w:before="240" w:line="276" w:lineRule="auto"/>
              <w:rPr>
                <w:rFonts w:ascii="Arial" w:hAnsi="Arial" w:cs="Arial"/>
                <w:bCs/>
                <w:color w:val="525252" w:themeColor="accent3" w:themeShade="80"/>
                <w:szCs w:val="24"/>
              </w:rPr>
            </w:pPr>
            <w:r w:rsidRPr="00474AA7">
              <w:rPr>
                <w:rFonts w:ascii="Arial" w:hAnsi="Arial" w:cs="Arial"/>
                <w:bCs/>
                <w:color w:val="525252" w:themeColor="accent3" w:themeShade="80"/>
                <w:szCs w:val="24"/>
              </w:rPr>
              <w:t xml:space="preserve">Le projet a été classé en catégorie B conformément aux Approches Communes de l’OCDE. </w:t>
            </w:r>
          </w:p>
          <w:p w14:paraId="748078E1" w14:textId="4D2AF408" w:rsidR="00474AA7" w:rsidRDefault="00474AA7" w:rsidP="00CC2182">
            <w:pPr>
              <w:spacing w:before="240" w:line="276" w:lineRule="auto"/>
              <w:rPr>
                <w:rFonts w:ascii="Arial" w:hAnsi="Arial" w:cs="Arial"/>
                <w:bCs/>
                <w:color w:val="525252" w:themeColor="accent3" w:themeShade="80"/>
                <w:szCs w:val="24"/>
              </w:rPr>
            </w:pPr>
            <w:r w:rsidRPr="00474AA7">
              <w:rPr>
                <w:rFonts w:ascii="Arial" w:hAnsi="Arial" w:cs="Arial"/>
                <w:bCs/>
                <w:color w:val="525252" w:themeColor="accent3" w:themeShade="80"/>
                <w:szCs w:val="24"/>
              </w:rPr>
              <w:t xml:space="preserve">Un suivi environnemental et social du projet sera </w:t>
            </w:r>
            <w:r>
              <w:rPr>
                <w:rFonts w:ascii="Arial" w:hAnsi="Arial" w:cs="Arial"/>
                <w:bCs/>
                <w:color w:val="525252" w:themeColor="accent3" w:themeShade="80"/>
                <w:szCs w:val="24"/>
              </w:rPr>
              <w:t>effectué</w:t>
            </w:r>
            <w:r w:rsidR="00DD6DD8">
              <w:rPr>
                <w:rFonts w:ascii="Arial" w:hAnsi="Arial" w:cs="Arial"/>
                <w:bCs/>
                <w:color w:val="525252" w:themeColor="accent3" w:themeShade="80"/>
                <w:szCs w:val="24"/>
              </w:rPr>
              <w:t xml:space="preserve"> en p</w:t>
            </w:r>
            <w:r w:rsidR="004845AF">
              <w:rPr>
                <w:rFonts w:ascii="Arial" w:hAnsi="Arial" w:cs="Arial"/>
                <w:bCs/>
                <w:color w:val="525252" w:themeColor="accent3" w:themeShade="80"/>
                <w:szCs w:val="24"/>
              </w:rPr>
              <w:t>hase d’installation</w:t>
            </w:r>
            <w:r>
              <w:rPr>
                <w:rFonts w:ascii="Arial" w:hAnsi="Arial" w:cs="Arial"/>
                <w:bCs/>
                <w:color w:val="525252" w:themeColor="accent3" w:themeShade="80"/>
                <w:szCs w:val="24"/>
              </w:rPr>
              <w:t>.</w:t>
            </w:r>
          </w:p>
        </w:tc>
        <w:tc>
          <w:tcPr>
            <w:tcW w:w="1689" w:type="dxa"/>
            <w:tcBorders>
              <w:top w:val="single" w:sz="4" w:space="0" w:color="auto"/>
              <w:left w:val="nil"/>
              <w:bottom w:val="single" w:sz="4" w:space="0" w:color="auto"/>
              <w:right w:val="single" w:sz="4" w:space="0" w:color="auto"/>
            </w:tcBorders>
            <w:shd w:val="clear" w:color="000000" w:fill="FFFFFF"/>
            <w:vAlign w:val="center"/>
          </w:tcPr>
          <w:p w14:paraId="7FAA344A" w14:textId="03207EB3" w:rsidR="003D498A" w:rsidRDefault="003D498A" w:rsidP="00CC2182">
            <w:pPr>
              <w:spacing w:before="240"/>
              <w:jc w:val="center"/>
              <w:rPr>
                <w:rFonts w:ascii="Arial" w:hAnsi="Arial" w:cs="Arial"/>
                <w:color w:val="525252" w:themeColor="accent3" w:themeShade="80"/>
                <w:sz w:val="22"/>
                <w:szCs w:val="22"/>
              </w:rPr>
            </w:pPr>
            <w:r>
              <w:rPr>
                <w:rFonts w:ascii="Arial" w:hAnsi="Arial" w:cs="Arial"/>
                <w:color w:val="525252" w:themeColor="accent3" w:themeShade="80"/>
                <w:sz w:val="22"/>
                <w:szCs w:val="22"/>
              </w:rPr>
              <w:t>14,1 M€</w:t>
            </w:r>
          </w:p>
        </w:tc>
      </w:tr>
      <w:tr w:rsidR="003D498A" w:rsidRPr="002F3C98" w14:paraId="14FD3919" w14:textId="77777777" w:rsidTr="00CC2182">
        <w:trPr>
          <w:trHeight w:val="705"/>
          <w:jc w:val="center"/>
        </w:trPr>
        <w:tc>
          <w:tcPr>
            <w:tcW w:w="1863" w:type="dxa"/>
            <w:tcBorders>
              <w:top w:val="single" w:sz="4" w:space="0" w:color="auto"/>
              <w:left w:val="single" w:sz="4" w:space="0" w:color="auto"/>
              <w:bottom w:val="single" w:sz="4" w:space="0" w:color="auto"/>
              <w:right w:val="single" w:sz="4" w:space="0" w:color="auto"/>
            </w:tcBorders>
            <w:shd w:val="clear" w:color="000000" w:fill="FFFFFF"/>
            <w:vAlign w:val="center"/>
          </w:tcPr>
          <w:p w14:paraId="4B90B960" w14:textId="77C989FC" w:rsidR="003D498A" w:rsidRPr="003D498A" w:rsidRDefault="003D498A" w:rsidP="00CC2182">
            <w:pPr>
              <w:spacing w:before="240"/>
              <w:jc w:val="center"/>
              <w:rPr>
                <w:rFonts w:ascii="Arial" w:hAnsi="Arial" w:cs="Arial"/>
                <w:bCs/>
                <w:color w:val="525252" w:themeColor="accent3" w:themeShade="80"/>
                <w:szCs w:val="24"/>
              </w:rPr>
            </w:pPr>
            <w:r w:rsidRPr="003D498A">
              <w:rPr>
                <w:rFonts w:ascii="Arial" w:hAnsi="Arial" w:cs="Arial"/>
                <w:bCs/>
                <w:color w:val="525252" w:themeColor="accent3" w:themeShade="80"/>
                <w:szCs w:val="24"/>
              </w:rPr>
              <w:t>IRA</w:t>
            </w:r>
            <w:r w:rsidR="00DD6DD8">
              <w:rPr>
                <w:rFonts w:ascii="Arial" w:hAnsi="Arial" w:cs="Arial"/>
                <w:bCs/>
                <w:color w:val="525252" w:themeColor="accent3" w:themeShade="80"/>
                <w:szCs w:val="24"/>
              </w:rPr>
              <w:t>K</w:t>
            </w:r>
          </w:p>
        </w:tc>
        <w:tc>
          <w:tcPr>
            <w:tcW w:w="1818" w:type="dxa"/>
            <w:tcBorders>
              <w:top w:val="single" w:sz="4" w:space="0" w:color="auto"/>
              <w:left w:val="nil"/>
              <w:bottom w:val="single" w:sz="4" w:space="0" w:color="auto"/>
              <w:right w:val="single" w:sz="4" w:space="0" w:color="auto"/>
            </w:tcBorders>
            <w:shd w:val="clear" w:color="000000" w:fill="FFFFFF"/>
            <w:vAlign w:val="center"/>
          </w:tcPr>
          <w:p w14:paraId="0A2464C1" w14:textId="264D1534" w:rsidR="003D498A" w:rsidRDefault="003D498A" w:rsidP="00CC2182">
            <w:pPr>
              <w:spacing w:before="240" w:line="276" w:lineRule="auto"/>
              <w:jc w:val="center"/>
              <w:rPr>
                <w:rFonts w:ascii="Arial" w:hAnsi="Arial" w:cs="Arial"/>
                <w:bCs/>
                <w:color w:val="525252" w:themeColor="accent3" w:themeShade="80"/>
                <w:szCs w:val="24"/>
              </w:rPr>
            </w:pPr>
            <w:r>
              <w:rPr>
                <w:rFonts w:ascii="Arial" w:hAnsi="Arial" w:cs="Arial"/>
                <w:bCs/>
                <w:color w:val="525252" w:themeColor="accent3" w:themeShade="80"/>
                <w:szCs w:val="24"/>
              </w:rPr>
              <w:t>GENERAL ELECTRIC</w:t>
            </w:r>
          </w:p>
        </w:tc>
        <w:tc>
          <w:tcPr>
            <w:tcW w:w="9355" w:type="dxa"/>
            <w:tcBorders>
              <w:top w:val="single" w:sz="4" w:space="0" w:color="auto"/>
              <w:left w:val="nil"/>
              <w:bottom w:val="single" w:sz="4" w:space="0" w:color="auto"/>
              <w:right w:val="single" w:sz="4" w:space="0" w:color="auto"/>
            </w:tcBorders>
            <w:shd w:val="clear" w:color="000000" w:fill="FFFFFF"/>
          </w:tcPr>
          <w:p w14:paraId="24FC19FF" w14:textId="391A5108" w:rsidR="00CC2182" w:rsidRDefault="00F74EE3" w:rsidP="00CC2182">
            <w:pPr>
              <w:spacing w:before="240" w:line="276" w:lineRule="auto"/>
              <w:rPr>
                <w:rFonts w:ascii="Arial" w:hAnsi="Arial" w:cs="Arial"/>
                <w:bCs/>
                <w:color w:val="525252" w:themeColor="accent3" w:themeShade="80"/>
                <w:szCs w:val="24"/>
              </w:rPr>
            </w:pPr>
            <w:r>
              <w:rPr>
                <w:rFonts w:ascii="Arial" w:hAnsi="Arial" w:cs="Arial"/>
                <w:bCs/>
                <w:color w:val="525252" w:themeColor="accent3" w:themeShade="80"/>
                <w:szCs w:val="24"/>
              </w:rPr>
              <w:t>Mise</w:t>
            </w:r>
            <w:r w:rsidRPr="00F74EE3">
              <w:rPr>
                <w:rFonts w:ascii="Arial" w:hAnsi="Arial" w:cs="Arial"/>
                <w:bCs/>
                <w:color w:val="525252" w:themeColor="accent3" w:themeShade="80"/>
                <w:szCs w:val="24"/>
              </w:rPr>
              <w:t xml:space="preserve"> à niveau, maintenance et réhabilitation de centrales </w:t>
            </w:r>
            <w:r>
              <w:rPr>
                <w:rFonts w:ascii="Arial" w:hAnsi="Arial" w:cs="Arial"/>
                <w:bCs/>
                <w:color w:val="525252" w:themeColor="accent3" w:themeShade="80"/>
                <w:szCs w:val="24"/>
              </w:rPr>
              <w:t>électriques</w:t>
            </w:r>
            <w:r w:rsidR="00635E59">
              <w:rPr>
                <w:rFonts w:ascii="Arial" w:hAnsi="Arial" w:cs="Arial"/>
                <w:bCs/>
                <w:color w:val="525252" w:themeColor="accent3" w:themeShade="80"/>
                <w:szCs w:val="24"/>
              </w:rPr>
              <w:t xml:space="preserve"> existantes</w:t>
            </w:r>
            <w:r w:rsidR="00CC2182">
              <w:rPr>
                <w:rFonts w:ascii="Arial" w:hAnsi="Arial" w:cs="Arial"/>
                <w:bCs/>
                <w:color w:val="525252" w:themeColor="accent3" w:themeShade="80"/>
                <w:szCs w:val="24"/>
              </w:rPr>
              <w:t>.</w:t>
            </w:r>
          </w:p>
          <w:p w14:paraId="313A0187" w14:textId="767E16A3" w:rsidR="00F74EE3" w:rsidRDefault="00CC2182" w:rsidP="00CC2182">
            <w:pPr>
              <w:spacing w:before="240" w:line="276" w:lineRule="auto"/>
              <w:rPr>
                <w:rFonts w:ascii="Arial" w:hAnsi="Arial" w:cs="Arial"/>
                <w:bCs/>
                <w:color w:val="525252" w:themeColor="accent3" w:themeShade="80"/>
                <w:szCs w:val="24"/>
              </w:rPr>
            </w:pPr>
            <w:r w:rsidRPr="00474AA7">
              <w:rPr>
                <w:rFonts w:ascii="Arial" w:hAnsi="Arial" w:cs="Arial"/>
                <w:bCs/>
                <w:color w:val="525252" w:themeColor="accent3" w:themeShade="80"/>
                <w:szCs w:val="24"/>
              </w:rPr>
              <w:t xml:space="preserve">Le projet a été classé en catégorie B conformément aux Approches Communes de l’OCDE. </w:t>
            </w:r>
          </w:p>
        </w:tc>
        <w:tc>
          <w:tcPr>
            <w:tcW w:w="1689" w:type="dxa"/>
            <w:tcBorders>
              <w:top w:val="single" w:sz="4" w:space="0" w:color="auto"/>
              <w:left w:val="nil"/>
              <w:bottom w:val="single" w:sz="4" w:space="0" w:color="auto"/>
              <w:right w:val="single" w:sz="4" w:space="0" w:color="auto"/>
            </w:tcBorders>
            <w:shd w:val="clear" w:color="000000" w:fill="FFFFFF"/>
            <w:vAlign w:val="center"/>
          </w:tcPr>
          <w:p w14:paraId="1959617A" w14:textId="7B57F1E6" w:rsidR="003D498A" w:rsidRDefault="00F74EE3" w:rsidP="00CC2182">
            <w:pPr>
              <w:spacing w:before="240"/>
              <w:jc w:val="center"/>
              <w:rPr>
                <w:rFonts w:ascii="Arial" w:hAnsi="Arial" w:cs="Arial"/>
                <w:color w:val="525252" w:themeColor="accent3" w:themeShade="80"/>
                <w:sz w:val="22"/>
                <w:szCs w:val="22"/>
              </w:rPr>
            </w:pPr>
            <w:r>
              <w:rPr>
                <w:rFonts w:ascii="Arial" w:hAnsi="Arial" w:cs="Arial"/>
                <w:color w:val="525252" w:themeColor="accent3" w:themeShade="80"/>
                <w:sz w:val="22"/>
                <w:szCs w:val="22"/>
              </w:rPr>
              <w:t>181 M€</w:t>
            </w:r>
          </w:p>
        </w:tc>
      </w:tr>
      <w:tr w:rsidR="00F74EE3" w:rsidRPr="002F3C98" w14:paraId="33C233F7" w14:textId="77777777" w:rsidTr="00474AA7">
        <w:trPr>
          <w:trHeight w:val="863"/>
          <w:jc w:val="center"/>
        </w:trPr>
        <w:tc>
          <w:tcPr>
            <w:tcW w:w="1863" w:type="dxa"/>
            <w:tcBorders>
              <w:top w:val="single" w:sz="4" w:space="0" w:color="auto"/>
              <w:left w:val="single" w:sz="4" w:space="0" w:color="auto"/>
              <w:bottom w:val="single" w:sz="4" w:space="0" w:color="auto"/>
              <w:right w:val="single" w:sz="4" w:space="0" w:color="auto"/>
            </w:tcBorders>
            <w:shd w:val="clear" w:color="000000" w:fill="FFFFFF"/>
            <w:vAlign w:val="center"/>
          </w:tcPr>
          <w:p w14:paraId="59873183" w14:textId="761B7902" w:rsidR="00F74EE3" w:rsidRPr="003D498A" w:rsidRDefault="00F74EE3" w:rsidP="00CC2182">
            <w:pPr>
              <w:spacing w:before="240"/>
              <w:jc w:val="center"/>
              <w:rPr>
                <w:rFonts w:ascii="Arial" w:hAnsi="Arial" w:cs="Arial"/>
                <w:bCs/>
                <w:color w:val="525252" w:themeColor="accent3" w:themeShade="80"/>
                <w:szCs w:val="24"/>
              </w:rPr>
            </w:pPr>
            <w:r>
              <w:rPr>
                <w:rFonts w:ascii="Arial" w:hAnsi="Arial" w:cs="Arial"/>
                <w:bCs/>
                <w:color w:val="525252" w:themeColor="accent3" w:themeShade="80"/>
                <w:szCs w:val="24"/>
              </w:rPr>
              <w:lastRenderedPageBreak/>
              <w:t>NIGERIA</w:t>
            </w:r>
          </w:p>
        </w:tc>
        <w:tc>
          <w:tcPr>
            <w:tcW w:w="1818" w:type="dxa"/>
            <w:tcBorders>
              <w:top w:val="single" w:sz="4" w:space="0" w:color="auto"/>
              <w:left w:val="nil"/>
              <w:bottom w:val="single" w:sz="4" w:space="0" w:color="auto"/>
              <w:right w:val="single" w:sz="4" w:space="0" w:color="auto"/>
            </w:tcBorders>
            <w:shd w:val="clear" w:color="000000" w:fill="FFFFFF"/>
            <w:vAlign w:val="center"/>
          </w:tcPr>
          <w:p w14:paraId="32836547" w14:textId="26043B62" w:rsidR="00F74EE3" w:rsidRDefault="00F74EE3" w:rsidP="00CC2182">
            <w:pPr>
              <w:spacing w:before="240" w:line="276" w:lineRule="auto"/>
              <w:jc w:val="center"/>
              <w:rPr>
                <w:rFonts w:ascii="Arial" w:hAnsi="Arial" w:cs="Arial"/>
                <w:bCs/>
                <w:color w:val="525252" w:themeColor="accent3" w:themeShade="80"/>
                <w:szCs w:val="24"/>
              </w:rPr>
            </w:pPr>
            <w:r>
              <w:rPr>
                <w:rFonts w:ascii="Arial" w:hAnsi="Arial" w:cs="Arial"/>
                <w:bCs/>
                <w:color w:val="525252" w:themeColor="accent3" w:themeShade="80"/>
                <w:szCs w:val="24"/>
              </w:rPr>
              <w:t>FERROSTAAL</w:t>
            </w:r>
          </w:p>
        </w:tc>
        <w:tc>
          <w:tcPr>
            <w:tcW w:w="9355" w:type="dxa"/>
            <w:tcBorders>
              <w:top w:val="single" w:sz="4" w:space="0" w:color="auto"/>
              <w:left w:val="nil"/>
              <w:bottom w:val="single" w:sz="4" w:space="0" w:color="auto"/>
              <w:right w:val="single" w:sz="4" w:space="0" w:color="auto"/>
            </w:tcBorders>
            <w:shd w:val="clear" w:color="000000" w:fill="FFFFFF"/>
          </w:tcPr>
          <w:p w14:paraId="7D886368" w14:textId="77777777" w:rsidR="00F74EE3" w:rsidRDefault="00F74EE3" w:rsidP="00CC2182">
            <w:pPr>
              <w:spacing w:before="240" w:line="276" w:lineRule="auto"/>
              <w:rPr>
                <w:rFonts w:ascii="Arial" w:hAnsi="Arial" w:cs="Arial"/>
                <w:bCs/>
                <w:color w:val="525252" w:themeColor="accent3" w:themeShade="80"/>
                <w:szCs w:val="24"/>
              </w:rPr>
            </w:pPr>
            <w:r>
              <w:rPr>
                <w:rFonts w:ascii="Arial" w:hAnsi="Arial" w:cs="Arial"/>
                <w:bCs/>
                <w:color w:val="525252" w:themeColor="accent3" w:themeShade="80"/>
                <w:szCs w:val="24"/>
              </w:rPr>
              <w:t>F</w:t>
            </w:r>
            <w:r w:rsidRPr="00F74EE3">
              <w:rPr>
                <w:rFonts w:ascii="Arial" w:hAnsi="Arial" w:cs="Arial"/>
                <w:bCs/>
                <w:color w:val="525252" w:themeColor="accent3" w:themeShade="80"/>
                <w:szCs w:val="24"/>
              </w:rPr>
              <w:t>ourniture d'équipement et de matériel pour la construction de tours d'immeuble</w:t>
            </w:r>
            <w:r w:rsidR="00474AA7">
              <w:rPr>
                <w:rFonts w:ascii="Arial" w:hAnsi="Arial" w:cs="Arial"/>
                <w:bCs/>
                <w:color w:val="525252" w:themeColor="accent3" w:themeShade="80"/>
                <w:szCs w:val="24"/>
              </w:rPr>
              <w:t>.</w:t>
            </w:r>
          </w:p>
          <w:p w14:paraId="75D123D7" w14:textId="479445AA" w:rsidR="00474AA7" w:rsidRDefault="00474AA7" w:rsidP="00CC2182">
            <w:pPr>
              <w:spacing w:before="240" w:line="276" w:lineRule="auto"/>
              <w:rPr>
                <w:rFonts w:ascii="Arial" w:hAnsi="Arial" w:cs="Arial"/>
                <w:bCs/>
                <w:color w:val="525252" w:themeColor="accent3" w:themeShade="80"/>
                <w:szCs w:val="24"/>
              </w:rPr>
            </w:pPr>
            <w:r w:rsidRPr="00474AA7">
              <w:rPr>
                <w:rFonts w:ascii="Arial" w:hAnsi="Arial" w:cs="Arial"/>
                <w:bCs/>
                <w:color w:val="525252" w:themeColor="accent3" w:themeShade="80"/>
                <w:szCs w:val="24"/>
              </w:rPr>
              <w:t xml:space="preserve">Le projet a été classé en catégorie B conformément aux Approches Communes de l’OCDE. </w:t>
            </w:r>
          </w:p>
        </w:tc>
        <w:tc>
          <w:tcPr>
            <w:tcW w:w="1689" w:type="dxa"/>
            <w:tcBorders>
              <w:top w:val="single" w:sz="4" w:space="0" w:color="auto"/>
              <w:left w:val="nil"/>
              <w:bottom w:val="single" w:sz="4" w:space="0" w:color="auto"/>
              <w:right w:val="single" w:sz="4" w:space="0" w:color="auto"/>
            </w:tcBorders>
            <w:shd w:val="clear" w:color="000000" w:fill="FFFFFF"/>
            <w:vAlign w:val="center"/>
          </w:tcPr>
          <w:p w14:paraId="7358E125" w14:textId="0C1E7626" w:rsidR="00F74EE3" w:rsidRDefault="00F74EE3" w:rsidP="00CC2182">
            <w:pPr>
              <w:spacing w:before="240"/>
              <w:jc w:val="center"/>
              <w:rPr>
                <w:rFonts w:ascii="Arial" w:hAnsi="Arial" w:cs="Arial"/>
                <w:color w:val="525252" w:themeColor="accent3" w:themeShade="80"/>
                <w:sz w:val="22"/>
                <w:szCs w:val="22"/>
              </w:rPr>
            </w:pPr>
            <w:r>
              <w:rPr>
                <w:rFonts w:ascii="Arial" w:hAnsi="Arial" w:cs="Arial"/>
                <w:color w:val="525252" w:themeColor="accent3" w:themeShade="80"/>
                <w:sz w:val="22"/>
                <w:szCs w:val="22"/>
              </w:rPr>
              <w:t>23 M€</w:t>
            </w:r>
          </w:p>
        </w:tc>
      </w:tr>
    </w:tbl>
    <w:p w14:paraId="1D71FA48" w14:textId="389B636A" w:rsidR="005E7E88" w:rsidRDefault="005E7E88" w:rsidP="00E029AC">
      <w:pPr>
        <w:rPr>
          <w:noProof/>
        </w:rPr>
      </w:pPr>
    </w:p>
    <w:p w14:paraId="3C41A962" w14:textId="3E0BE034" w:rsidR="005E7E88" w:rsidRDefault="005E7E88" w:rsidP="00E029AC">
      <w:pPr>
        <w:rPr>
          <w:noProof/>
        </w:rPr>
      </w:pPr>
    </w:p>
    <w:p w14:paraId="68A50F4B" w14:textId="77777777" w:rsidR="005E7E88" w:rsidRDefault="005E7E88" w:rsidP="00E029AC">
      <w:pPr>
        <w:rPr>
          <w:noProof/>
        </w:rPr>
      </w:pPr>
    </w:p>
    <w:p w14:paraId="2664D273" w14:textId="52F88C9C" w:rsidR="00DD04C3" w:rsidRPr="000207D5" w:rsidRDefault="00DD04C3" w:rsidP="000207D5">
      <w:pPr>
        <w:pStyle w:val="Paragraphedeliste"/>
        <w:keepNext/>
        <w:keepLines/>
        <w:numPr>
          <w:ilvl w:val="0"/>
          <w:numId w:val="6"/>
        </w:numPr>
        <w:tabs>
          <w:tab w:val="left" w:pos="2127"/>
        </w:tabs>
        <w:spacing w:before="60" w:after="240" w:line="300" w:lineRule="atLeast"/>
        <w:jc w:val="both"/>
        <w:outlineLvl w:val="0"/>
        <w:rPr>
          <w:rFonts w:asciiTheme="majorHAnsi" w:eastAsiaTheme="majorEastAsia" w:hAnsiTheme="majorHAnsi" w:cstheme="majorBidi"/>
          <w:b/>
          <w:bCs/>
          <w:caps/>
          <w:color w:val="5E514D"/>
          <w:sz w:val="28"/>
          <w:szCs w:val="28"/>
          <w:lang w:eastAsia="en-US"/>
        </w:rPr>
      </w:pPr>
      <w:r w:rsidRPr="000207D5">
        <w:rPr>
          <w:rFonts w:ascii="Arial" w:eastAsiaTheme="majorEastAsia" w:hAnsi="Arial" w:cs="Arial"/>
          <w:b/>
          <w:bCs/>
          <w:caps/>
          <w:color w:val="5E514D"/>
          <w:sz w:val="24"/>
          <w:szCs w:val="28"/>
          <w:lang w:eastAsia="en-US"/>
        </w:rPr>
        <w:t>AERONAUTIQUE</w:t>
      </w:r>
    </w:p>
    <w:p w14:paraId="3F30A548" w14:textId="03E0B420" w:rsidR="005E7E88" w:rsidRPr="00292C86" w:rsidRDefault="00D12BDA" w:rsidP="00C637EB">
      <w:pPr>
        <w:jc w:val="both"/>
        <w:rPr>
          <w:rFonts w:ascii="Arial" w:hAnsi="Arial" w:cs="Arial"/>
          <w:color w:val="525252" w:themeColor="accent3" w:themeShade="80"/>
          <w:lang w:eastAsia="en-US"/>
        </w:rPr>
      </w:pPr>
      <w:r w:rsidRPr="00292C86">
        <w:rPr>
          <w:rFonts w:ascii="Arial" w:hAnsi="Arial" w:cs="Arial"/>
          <w:color w:val="525252" w:themeColor="accent3" w:themeShade="80"/>
          <w:lang w:eastAsia="en-US"/>
        </w:rPr>
        <w:t>Airbus a bénéficié des garanties de Bpifrance Assurance Export, au cours de cette même période, pour la livraison de trois (03) appareils A380 à la compagnie Emirates Airlines</w:t>
      </w:r>
      <w:r w:rsidR="00C637EB" w:rsidRPr="00292C86">
        <w:rPr>
          <w:rFonts w:ascii="Arial" w:hAnsi="Arial" w:cs="Arial"/>
          <w:color w:val="525252" w:themeColor="accent3" w:themeShade="80"/>
          <w:lang w:eastAsia="en-US"/>
        </w:rPr>
        <w:t xml:space="preserve"> (Emirats Arabes Unis)</w:t>
      </w:r>
      <w:r w:rsidRPr="00292C86">
        <w:rPr>
          <w:rFonts w:ascii="Arial" w:hAnsi="Arial" w:cs="Arial"/>
          <w:color w:val="525252" w:themeColor="accent3" w:themeShade="80"/>
          <w:lang w:eastAsia="en-US"/>
        </w:rPr>
        <w:t>.</w:t>
      </w:r>
    </w:p>
    <w:p w14:paraId="40BAC3D0" w14:textId="3EEA0B2E" w:rsidR="00C637EB" w:rsidRPr="00292C86" w:rsidRDefault="00C637EB" w:rsidP="00C637EB">
      <w:pPr>
        <w:jc w:val="both"/>
        <w:rPr>
          <w:rFonts w:ascii="Arial" w:hAnsi="Arial" w:cs="Arial"/>
          <w:color w:val="525252" w:themeColor="accent3" w:themeShade="80"/>
          <w:lang w:eastAsia="en-US"/>
        </w:rPr>
      </w:pPr>
    </w:p>
    <w:p w14:paraId="33BBA6D9" w14:textId="2C028596" w:rsidR="00C637EB" w:rsidRPr="00292C86" w:rsidRDefault="00C637EB" w:rsidP="00C637EB">
      <w:pPr>
        <w:jc w:val="both"/>
        <w:rPr>
          <w:rFonts w:ascii="Arial" w:hAnsi="Arial" w:cs="Arial"/>
          <w:color w:val="525252" w:themeColor="accent3" w:themeShade="80"/>
          <w:lang w:eastAsia="en-US"/>
        </w:rPr>
      </w:pPr>
      <w:r w:rsidRPr="00292C86">
        <w:rPr>
          <w:rFonts w:ascii="Arial" w:hAnsi="Arial" w:cs="Arial"/>
          <w:color w:val="525252" w:themeColor="accent3" w:themeShade="80"/>
          <w:lang w:eastAsia="en-US"/>
        </w:rPr>
        <w:t xml:space="preserve">Safran a bénéficié des garanties de Bpifrance Assurance Export, au cours de cette même période, pour la fourniture de 3 moteurs </w:t>
      </w:r>
      <w:r w:rsidR="000D029A" w:rsidRPr="00292C86">
        <w:rPr>
          <w:rFonts w:ascii="Arial" w:hAnsi="Arial" w:cs="Arial"/>
          <w:color w:val="525252" w:themeColor="accent3" w:themeShade="80"/>
          <w:lang w:eastAsia="en-US"/>
        </w:rPr>
        <w:t>d’avion</w:t>
      </w:r>
      <w:r w:rsidRPr="00292C86">
        <w:rPr>
          <w:rFonts w:ascii="Arial" w:hAnsi="Arial" w:cs="Arial"/>
          <w:color w:val="525252" w:themeColor="accent3" w:themeShade="80"/>
          <w:lang w:eastAsia="en-US"/>
        </w:rPr>
        <w:t xml:space="preserve"> à la compagnie </w:t>
      </w:r>
      <w:proofErr w:type="spellStart"/>
      <w:r w:rsidRPr="00292C86">
        <w:rPr>
          <w:rFonts w:ascii="Arial" w:hAnsi="Arial" w:cs="Arial"/>
          <w:color w:val="525252" w:themeColor="accent3" w:themeShade="80"/>
          <w:lang w:eastAsia="en-US"/>
        </w:rPr>
        <w:t>SunExpress</w:t>
      </w:r>
      <w:proofErr w:type="spellEnd"/>
      <w:r w:rsidRPr="00292C86">
        <w:rPr>
          <w:rFonts w:ascii="Arial" w:hAnsi="Arial" w:cs="Arial"/>
          <w:color w:val="525252" w:themeColor="accent3" w:themeShade="80"/>
          <w:lang w:eastAsia="en-US"/>
        </w:rPr>
        <w:t xml:space="preserve"> (Turquie).</w:t>
      </w:r>
    </w:p>
    <w:p w14:paraId="59228645" w14:textId="6B304C95" w:rsidR="00D12BDA" w:rsidRPr="005E7E88" w:rsidRDefault="00D12BDA" w:rsidP="005E7E88">
      <w:pPr>
        <w:jc w:val="both"/>
        <w:rPr>
          <w:rFonts w:ascii="Arial" w:hAnsi="Arial" w:cs="Arial"/>
          <w:color w:val="525252" w:themeColor="accent3" w:themeShade="80"/>
          <w:sz w:val="22"/>
          <w:lang w:eastAsia="en-US"/>
        </w:rPr>
      </w:pPr>
    </w:p>
    <w:sectPr w:rsidR="00D12BDA" w:rsidRPr="005E7E88" w:rsidSect="009021A1">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C8EE9" w14:textId="77777777" w:rsidR="00DB6D5B" w:rsidRDefault="00DB6D5B" w:rsidP="009021A1">
      <w:r>
        <w:separator/>
      </w:r>
    </w:p>
  </w:endnote>
  <w:endnote w:type="continuationSeparator" w:id="0">
    <w:p w14:paraId="33D86CA3" w14:textId="77777777" w:rsidR="00DB6D5B" w:rsidRDefault="00DB6D5B" w:rsidP="0090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AF7DA" w14:textId="77777777" w:rsidR="00CB0F5F" w:rsidRDefault="00CB0F5F"/>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188"/>
    </w:tblGrid>
    <w:tr w:rsidR="009021A1" w14:paraId="49AA0CE8" w14:textId="77777777" w:rsidTr="00CB0F5F">
      <w:trPr>
        <w:trHeight w:val="1077"/>
      </w:trPr>
      <w:tc>
        <w:tcPr>
          <w:tcW w:w="10188" w:type="dxa"/>
          <w:tcBorders>
            <w:top w:val="nil"/>
            <w:left w:val="nil"/>
            <w:bottom w:val="nil"/>
            <w:right w:val="nil"/>
          </w:tcBorders>
          <w:hideMark/>
        </w:tcPr>
        <w:p w14:paraId="4883498D" w14:textId="77777777" w:rsidR="009021A1" w:rsidRPr="00CB0F5F" w:rsidRDefault="009021A1" w:rsidP="009021A1">
          <w:pPr>
            <w:pStyle w:val="Raisonsociale"/>
            <w:framePr w:w="0" w:hRule="auto" w:wrap="auto" w:vAnchor="margin" w:hAnchor="text" w:xAlign="left" w:yAlign="inline"/>
            <w:rPr>
              <w:rFonts w:ascii="Arial" w:hAnsi="Arial" w:cs="Arial"/>
              <w:color w:val="5E514D"/>
              <w:spacing w:val="-2"/>
              <w:sz w:val="18"/>
            </w:rPr>
          </w:pPr>
          <w:r w:rsidRPr="00CB0F5F">
            <w:rPr>
              <w:rFonts w:ascii="Arial" w:hAnsi="Arial" w:cs="Arial"/>
              <w:color w:val="5E514D"/>
              <w:spacing w:val="-2"/>
              <w:sz w:val="18"/>
            </w:rPr>
            <w:t xml:space="preserve">Bpifrance Assurance Export </w:t>
          </w:r>
        </w:p>
        <w:p w14:paraId="6FA97A84" w14:textId="77777777" w:rsidR="009021A1" w:rsidRPr="00E04298" w:rsidRDefault="009021A1" w:rsidP="009021A1">
          <w:pPr>
            <w:spacing w:line="170" w:lineRule="exact"/>
            <w:rPr>
              <w:rFonts w:ascii="Arial" w:hAnsi="Arial"/>
              <w:color w:val="5E514D"/>
              <w:spacing w:val="-2"/>
              <w:sz w:val="18"/>
            </w:rPr>
          </w:pPr>
          <w:r w:rsidRPr="00E04298">
            <w:rPr>
              <w:rFonts w:ascii="Arial" w:hAnsi="Arial"/>
              <w:color w:val="5E514D"/>
              <w:spacing w:val="-2"/>
              <w:sz w:val="18"/>
            </w:rPr>
            <w:t>Agissant au nom, pour le compte et sous le contrôle de l’</w:t>
          </w:r>
          <w:r w:rsidRPr="00E04298">
            <w:rPr>
              <w:rFonts w:ascii="Arial" w:hAnsi="Arial" w:cs="Arial"/>
              <w:color w:val="5E514D"/>
              <w:spacing w:val="-2"/>
              <w:sz w:val="18"/>
            </w:rPr>
            <w:t>É</w:t>
          </w:r>
          <w:r w:rsidRPr="00E04298">
            <w:rPr>
              <w:rFonts w:ascii="Arial" w:hAnsi="Arial"/>
              <w:color w:val="5E514D"/>
              <w:spacing w:val="-2"/>
              <w:sz w:val="18"/>
            </w:rPr>
            <w:t>tat, en vertu de l’article L. 432-2 du code des assurances</w:t>
          </w:r>
        </w:p>
        <w:p w14:paraId="53CE010E" w14:textId="77777777" w:rsidR="009021A1" w:rsidRPr="00E04298" w:rsidRDefault="009021A1" w:rsidP="009021A1">
          <w:pPr>
            <w:pStyle w:val="Mentionslgales"/>
            <w:framePr w:w="0" w:hRule="auto" w:wrap="auto" w:vAnchor="margin" w:hAnchor="text" w:xAlign="left" w:yAlign="inline"/>
            <w:rPr>
              <w:color w:val="5E514D"/>
              <w:spacing w:val="-2"/>
              <w:sz w:val="18"/>
            </w:rPr>
          </w:pPr>
          <w:r w:rsidRPr="00E04298">
            <w:rPr>
              <w:color w:val="5E514D"/>
              <w:spacing w:val="-2"/>
              <w:sz w:val="18"/>
            </w:rPr>
            <w:t>SAS au capital de 30 000 000 euros – 815 276 308 RCS Créteil - N° TVA FR 29 815 276 308</w:t>
          </w:r>
        </w:p>
        <w:p w14:paraId="210B4D88" w14:textId="77777777" w:rsidR="009021A1" w:rsidRDefault="009021A1" w:rsidP="009021A1">
          <w:pPr>
            <w:pStyle w:val="Mentionslgales"/>
            <w:framePr w:w="0" w:hRule="auto" w:wrap="auto" w:vAnchor="margin" w:hAnchor="text" w:xAlign="left" w:yAlign="inline"/>
            <w:rPr>
              <w:rStyle w:val="Adresseinternet"/>
            </w:rPr>
          </w:pPr>
          <w:r w:rsidRPr="00E04298">
            <w:rPr>
              <w:color w:val="5E514D"/>
              <w:spacing w:val="-2"/>
              <w:sz w:val="18"/>
            </w:rPr>
            <w:t xml:space="preserve">Siège social : 27-31, avenue du Général Leclerc - 94710 Maisons-Alfort Cedex - Tél. : +33 1 41 79 80 00 - Fax : +33 1 41 79 80 01- </w:t>
          </w:r>
          <w:r w:rsidRPr="00E04298">
            <w:rPr>
              <w:rStyle w:val="Adresseinternet"/>
              <w:color w:val="5E514D"/>
              <w:spacing w:val="-2"/>
              <w:sz w:val="18"/>
            </w:rPr>
            <w:t>bpifrance.fr</w:t>
          </w:r>
        </w:p>
      </w:tc>
    </w:tr>
  </w:tbl>
  <w:p w14:paraId="1BBE0A75" w14:textId="77777777" w:rsidR="009021A1" w:rsidRDefault="009021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FF8D5" w14:textId="77777777" w:rsidR="00DB6D5B" w:rsidRDefault="00DB6D5B" w:rsidP="009021A1">
      <w:r>
        <w:separator/>
      </w:r>
    </w:p>
  </w:footnote>
  <w:footnote w:type="continuationSeparator" w:id="0">
    <w:p w14:paraId="03F6CFB8" w14:textId="77777777" w:rsidR="00DB6D5B" w:rsidRDefault="00DB6D5B" w:rsidP="00902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673924340"/>
      <w:docPartObj>
        <w:docPartGallery w:val="Page Numbers (Top of Page)"/>
        <w:docPartUnique/>
      </w:docPartObj>
    </w:sdtPr>
    <w:sdtEndPr/>
    <w:sdtContent>
      <w:p w14:paraId="496FC39B" w14:textId="77777777" w:rsidR="00474AA7" w:rsidRPr="0008320B" w:rsidRDefault="00474AA7">
        <w:pPr>
          <w:pStyle w:val="En-tte"/>
          <w:jc w:val="center"/>
          <w:rPr>
            <w:rFonts w:ascii="Arial" w:hAnsi="Arial" w:cs="Arial"/>
          </w:rPr>
        </w:pPr>
        <w:r w:rsidRPr="0008320B">
          <w:rPr>
            <w:rFonts w:ascii="Arial" w:hAnsi="Arial" w:cs="Arial"/>
          </w:rPr>
          <w:t xml:space="preserve">Page </w:t>
        </w:r>
        <w:r w:rsidRPr="0008320B">
          <w:rPr>
            <w:rFonts w:ascii="Arial" w:hAnsi="Arial" w:cs="Arial"/>
            <w:b/>
            <w:bCs/>
            <w:sz w:val="24"/>
            <w:szCs w:val="24"/>
          </w:rPr>
          <w:fldChar w:fldCharType="begin"/>
        </w:r>
        <w:r w:rsidRPr="0008320B">
          <w:rPr>
            <w:rFonts w:ascii="Arial" w:hAnsi="Arial" w:cs="Arial"/>
            <w:b/>
            <w:bCs/>
          </w:rPr>
          <w:instrText>PAGE</w:instrText>
        </w:r>
        <w:r w:rsidRPr="0008320B">
          <w:rPr>
            <w:rFonts w:ascii="Arial" w:hAnsi="Arial" w:cs="Arial"/>
            <w:b/>
            <w:bCs/>
            <w:sz w:val="24"/>
            <w:szCs w:val="24"/>
          </w:rPr>
          <w:fldChar w:fldCharType="separate"/>
        </w:r>
        <w:r w:rsidRPr="0008320B">
          <w:rPr>
            <w:rFonts w:ascii="Arial" w:hAnsi="Arial" w:cs="Arial"/>
            <w:b/>
            <w:bCs/>
          </w:rPr>
          <w:t>2</w:t>
        </w:r>
        <w:r w:rsidRPr="0008320B">
          <w:rPr>
            <w:rFonts w:ascii="Arial" w:hAnsi="Arial" w:cs="Arial"/>
            <w:b/>
            <w:bCs/>
            <w:sz w:val="24"/>
            <w:szCs w:val="24"/>
          </w:rPr>
          <w:fldChar w:fldCharType="end"/>
        </w:r>
        <w:r w:rsidRPr="0008320B">
          <w:rPr>
            <w:rFonts w:ascii="Arial" w:hAnsi="Arial" w:cs="Arial"/>
          </w:rPr>
          <w:t xml:space="preserve"> sur </w:t>
        </w:r>
        <w:r w:rsidRPr="0008320B">
          <w:rPr>
            <w:rFonts w:ascii="Arial" w:hAnsi="Arial" w:cs="Arial"/>
            <w:b/>
            <w:bCs/>
            <w:sz w:val="24"/>
            <w:szCs w:val="24"/>
          </w:rPr>
          <w:fldChar w:fldCharType="begin"/>
        </w:r>
        <w:r w:rsidRPr="0008320B">
          <w:rPr>
            <w:rFonts w:ascii="Arial" w:hAnsi="Arial" w:cs="Arial"/>
            <w:b/>
            <w:bCs/>
          </w:rPr>
          <w:instrText>NUMPAGES</w:instrText>
        </w:r>
        <w:r w:rsidRPr="0008320B">
          <w:rPr>
            <w:rFonts w:ascii="Arial" w:hAnsi="Arial" w:cs="Arial"/>
            <w:b/>
            <w:bCs/>
            <w:sz w:val="24"/>
            <w:szCs w:val="24"/>
          </w:rPr>
          <w:fldChar w:fldCharType="separate"/>
        </w:r>
        <w:r w:rsidRPr="0008320B">
          <w:rPr>
            <w:rFonts w:ascii="Arial" w:hAnsi="Arial" w:cs="Arial"/>
            <w:b/>
            <w:bCs/>
          </w:rPr>
          <w:t>2</w:t>
        </w:r>
        <w:r w:rsidRPr="0008320B">
          <w:rPr>
            <w:rFonts w:ascii="Arial" w:hAnsi="Arial" w:cs="Arial"/>
            <w:b/>
            <w:bCs/>
            <w:sz w:val="24"/>
            <w:szCs w:val="24"/>
          </w:rPr>
          <w:fldChar w:fldCharType="end"/>
        </w:r>
      </w:p>
    </w:sdtContent>
  </w:sdt>
  <w:p w14:paraId="6454DC68" w14:textId="2C030017" w:rsidR="00060015" w:rsidRDefault="0006001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E3B61"/>
    <w:multiLevelType w:val="hybridMultilevel"/>
    <w:tmpl w:val="0046E5D2"/>
    <w:lvl w:ilvl="0" w:tplc="6AC8E058">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A4E388B"/>
    <w:multiLevelType w:val="hybridMultilevel"/>
    <w:tmpl w:val="8CB8E2FE"/>
    <w:lvl w:ilvl="0" w:tplc="81AAF66E">
      <w:start w:val="1"/>
      <w:numFmt w:val="decimal"/>
      <w:lvlText w:val="%1."/>
      <w:lvlJc w:val="left"/>
      <w:pPr>
        <w:ind w:left="720" w:hanging="360"/>
      </w:pPr>
      <w:rPr>
        <w:rFonts w:ascii="Impact" w:hAnsi="Impact" w:cs="Arial" w:hint="default"/>
        <w:color w:val="FFC000" w:themeColor="accent4"/>
        <w:sz w:val="3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22741F4"/>
    <w:multiLevelType w:val="hybridMultilevel"/>
    <w:tmpl w:val="89F01C76"/>
    <w:lvl w:ilvl="0" w:tplc="56F43A4A">
      <w:start w:val="16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8C93867"/>
    <w:multiLevelType w:val="hybridMultilevel"/>
    <w:tmpl w:val="0B981F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9186D96"/>
    <w:multiLevelType w:val="hybridMultilevel"/>
    <w:tmpl w:val="363CF426"/>
    <w:lvl w:ilvl="0" w:tplc="F44A7752">
      <w:start w:val="1"/>
      <w:numFmt w:val="decimal"/>
      <w:lvlText w:val="%1."/>
      <w:lvlJc w:val="left"/>
      <w:pPr>
        <w:ind w:left="720" w:hanging="360"/>
      </w:pPr>
      <w:rPr>
        <w:rFonts w:ascii="Arial" w:hAnsi="Arial" w:cs="Arial" w:hint="default"/>
        <w:color w:val="FFD966" w:themeColor="accent4" w:themeTint="99"/>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AA824EE"/>
    <w:multiLevelType w:val="hybridMultilevel"/>
    <w:tmpl w:val="041E7134"/>
    <w:lvl w:ilvl="0" w:tplc="32A2D12C">
      <w:start w:val="1"/>
      <w:numFmt w:val="decimal"/>
      <w:lvlText w:val="%1."/>
      <w:lvlJc w:val="left"/>
      <w:pPr>
        <w:ind w:left="1080" w:hanging="360"/>
      </w:pPr>
      <w:rPr>
        <w:rFonts w:ascii="Arial" w:hAnsi="Arial" w:cs="Arial" w:hint="default"/>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1A1"/>
    <w:rsid w:val="00001BE7"/>
    <w:rsid w:val="00012371"/>
    <w:rsid w:val="000207D5"/>
    <w:rsid w:val="00060015"/>
    <w:rsid w:val="00064B26"/>
    <w:rsid w:val="00077CD3"/>
    <w:rsid w:val="00080C6A"/>
    <w:rsid w:val="0008320B"/>
    <w:rsid w:val="000836EA"/>
    <w:rsid w:val="000A141B"/>
    <w:rsid w:val="000D029A"/>
    <w:rsid w:val="001123A6"/>
    <w:rsid w:val="0012120C"/>
    <w:rsid w:val="00125888"/>
    <w:rsid w:val="00126236"/>
    <w:rsid w:val="001315E0"/>
    <w:rsid w:val="00150F2D"/>
    <w:rsid w:val="00161578"/>
    <w:rsid w:val="00161FFD"/>
    <w:rsid w:val="00183916"/>
    <w:rsid w:val="00196D7B"/>
    <w:rsid w:val="001C3EF3"/>
    <w:rsid w:val="001C421A"/>
    <w:rsid w:val="001C48EF"/>
    <w:rsid w:val="001F1BC6"/>
    <w:rsid w:val="001F5E31"/>
    <w:rsid w:val="00207021"/>
    <w:rsid w:val="002372B3"/>
    <w:rsid w:val="00264F0F"/>
    <w:rsid w:val="002909AB"/>
    <w:rsid w:val="00292C86"/>
    <w:rsid w:val="002B6B6D"/>
    <w:rsid w:val="002E0F39"/>
    <w:rsid w:val="002F3C98"/>
    <w:rsid w:val="002F4367"/>
    <w:rsid w:val="0030076F"/>
    <w:rsid w:val="00300FD4"/>
    <w:rsid w:val="00312815"/>
    <w:rsid w:val="00344E55"/>
    <w:rsid w:val="00355704"/>
    <w:rsid w:val="003665F6"/>
    <w:rsid w:val="003962F8"/>
    <w:rsid w:val="003A584D"/>
    <w:rsid w:val="003A6387"/>
    <w:rsid w:val="003A7618"/>
    <w:rsid w:val="003A7FDD"/>
    <w:rsid w:val="003B6368"/>
    <w:rsid w:val="003C2657"/>
    <w:rsid w:val="003C6B98"/>
    <w:rsid w:val="003D15A0"/>
    <w:rsid w:val="003D498A"/>
    <w:rsid w:val="003D65C8"/>
    <w:rsid w:val="003E115D"/>
    <w:rsid w:val="003E5765"/>
    <w:rsid w:val="00441C79"/>
    <w:rsid w:val="004662F3"/>
    <w:rsid w:val="00470E8B"/>
    <w:rsid w:val="00472C8C"/>
    <w:rsid w:val="00474AA7"/>
    <w:rsid w:val="004769EE"/>
    <w:rsid w:val="00481CE8"/>
    <w:rsid w:val="00482B6B"/>
    <w:rsid w:val="004845AF"/>
    <w:rsid w:val="00486B44"/>
    <w:rsid w:val="004D4484"/>
    <w:rsid w:val="00520087"/>
    <w:rsid w:val="00524813"/>
    <w:rsid w:val="005605E9"/>
    <w:rsid w:val="005E7E88"/>
    <w:rsid w:val="005F0F77"/>
    <w:rsid w:val="00612FC0"/>
    <w:rsid w:val="0062044E"/>
    <w:rsid w:val="00635E59"/>
    <w:rsid w:val="006459AB"/>
    <w:rsid w:val="00646A45"/>
    <w:rsid w:val="0066002E"/>
    <w:rsid w:val="006829BE"/>
    <w:rsid w:val="006C3298"/>
    <w:rsid w:val="006E56D1"/>
    <w:rsid w:val="006E7747"/>
    <w:rsid w:val="00756978"/>
    <w:rsid w:val="007671D8"/>
    <w:rsid w:val="00784B70"/>
    <w:rsid w:val="00792797"/>
    <w:rsid w:val="007A6639"/>
    <w:rsid w:val="007B299B"/>
    <w:rsid w:val="007C41EA"/>
    <w:rsid w:val="007C596F"/>
    <w:rsid w:val="00810FAB"/>
    <w:rsid w:val="008177A8"/>
    <w:rsid w:val="00833885"/>
    <w:rsid w:val="00840906"/>
    <w:rsid w:val="00846F30"/>
    <w:rsid w:val="00860F55"/>
    <w:rsid w:val="008A2E8B"/>
    <w:rsid w:val="008D519C"/>
    <w:rsid w:val="008F2DCB"/>
    <w:rsid w:val="008F5E2C"/>
    <w:rsid w:val="009021A1"/>
    <w:rsid w:val="00904EF1"/>
    <w:rsid w:val="009375CA"/>
    <w:rsid w:val="00945192"/>
    <w:rsid w:val="009472D9"/>
    <w:rsid w:val="00963720"/>
    <w:rsid w:val="0097667F"/>
    <w:rsid w:val="00976994"/>
    <w:rsid w:val="009A35B8"/>
    <w:rsid w:val="009E1840"/>
    <w:rsid w:val="009E5C9E"/>
    <w:rsid w:val="00A25D51"/>
    <w:rsid w:val="00A346C1"/>
    <w:rsid w:val="00A50FC5"/>
    <w:rsid w:val="00A868FB"/>
    <w:rsid w:val="00A86EA0"/>
    <w:rsid w:val="00AA31D1"/>
    <w:rsid w:val="00AB3BA0"/>
    <w:rsid w:val="00AE7B51"/>
    <w:rsid w:val="00B4539D"/>
    <w:rsid w:val="00B84C68"/>
    <w:rsid w:val="00B93EED"/>
    <w:rsid w:val="00B95805"/>
    <w:rsid w:val="00BC3259"/>
    <w:rsid w:val="00BD43C6"/>
    <w:rsid w:val="00BE15C5"/>
    <w:rsid w:val="00BF0D9B"/>
    <w:rsid w:val="00BF6F26"/>
    <w:rsid w:val="00C4421C"/>
    <w:rsid w:val="00C55B15"/>
    <w:rsid w:val="00C637EB"/>
    <w:rsid w:val="00C944C5"/>
    <w:rsid w:val="00CB0F5F"/>
    <w:rsid w:val="00CC2182"/>
    <w:rsid w:val="00CC2833"/>
    <w:rsid w:val="00CC4948"/>
    <w:rsid w:val="00CE42B2"/>
    <w:rsid w:val="00CE4DB4"/>
    <w:rsid w:val="00D000D4"/>
    <w:rsid w:val="00D0149D"/>
    <w:rsid w:val="00D12BDA"/>
    <w:rsid w:val="00D14822"/>
    <w:rsid w:val="00D27847"/>
    <w:rsid w:val="00D37AB1"/>
    <w:rsid w:val="00D41733"/>
    <w:rsid w:val="00D4567C"/>
    <w:rsid w:val="00D62F5B"/>
    <w:rsid w:val="00D65C36"/>
    <w:rsid w:val="00D762E3"/>
    <w:rsid w:val="00D918E2"/>
    <w:rsid w:val="00DA5CEB"/>
    <w:rsid w:val="00DB6D5B"/>
    <w:rsid w:val="00DD04C3"/>
    <w:rsid w:val="00DD6275"/>
    <w:rsid w:val="00DD6DD8"/>
    <w:rsid w:val="00DE2102"/>
    <w:rsid w:val="00DF4768"/>
    <w:rsid w:val="00E029AC"/>
    <w:rsid w:val="00E04298"/>
    <w:rsid w:val="00E10AFC"/>
    <w:rsid w:val="00E36467"/>
    <w:rsid w:val="00E44DEB"/>
    <w:rsid w:val="00E50FFD"/>
    <w:rsid w:val="00E54041"/>
    <w:rsid w:val="00E54E53"/>
    <w:rsid w:val="00E82A66"/>
    <w:rsid w:val="00E82F78"/>
    <w:rsid w:val="00E92817"/>
    <w:rsid w:val="00EC77F1"/>
    <w:rsid w:val="00ED59DF"/>
    <w:rsid w:val="00EE3D25"/>
    <w:rsid w:val="00F060E9"/>
    <w:rsid w:val="00F2214A"/>
    <w:rsid w:val="00F46BDD"/>
    <w:rsid w:val="00F5226C"/>
    <w:rsid w:val="00F74EE3"/>
    <w:rsid w:val="00F80691"/>
    <w:rsid w:val="00F85F21"/>
    <w:rsid w:val="00F86E17"/>
    <w:rsid w:val="00FB622E"/>
    <w:rsid w:val="00FB7569"/>
    <w:rsid w:val="00FC06E6"/>
    <w:rsid w:val="00FC51C4"/>
    <w:rsid w:val="00FD3210"/>
    <w:rsid w:val="00FD3405"/>
    <w:rsid w:val="00FD5CF4"/>
    <w:rsid w:val="00FD616C"/>
    <w:rsid w:val="00FE20BE"/>
    <w:rsid w:val="00FE7AB2"/>
    <w:rsid w:val="00FF1B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D1ABB"/>
  <w15:chartTrackingRefBased/>
  <w15:docId w15:val="{1A3C0071-E483-4AE7-9BFD-4E139709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4C3"/>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9021A1"/>
    <w:pPr>
      <w:keepNext/>
      <w:keepLines/>
      <w:spacing w:before="60" w:after="240" w:line="300" w:lineRule="atLeast"/>
      <w:outlineLvl w:val="0"/>
    </w:pPr>
    <w:rPr>
      <w:rFonts w:asciiTheme="majorHAnsi" w:eastAsiaTheme="majorEastAsia" w:hAnsiTheme="majorHAnsi" w:cstheme="majorBidi"/>
      <w:b/>
      <w:bCs/>
      <w:caps/>
      <w:color w:val="ED7D31" w:themeColor="accent2"/>
      <w:sz w:val="24"/>
      <w:szCs w:val="28"/>
      <w:lang w:eastAsia="en-US"/>
    </w:rPr>
  </w:style>
  <w:style w:type="paragraph" w:styleId="Titre2">
    <w:name w:val="heading 2"/>
    <w:basedOn w:val="Normal"/>
    <w:next w:val="Normal"/>
    <w:link w:val="Titre2Car"/>
    <w:semiHidden/>
    <w:unhideWhenUsed/>
    <w:qFormat/>
    <w:rsid w:val="009021A1"/>
    <w:pPr>
      <w:keepNext/>
      <w:jc w:val="center"/>
      <w:outlineLvl w:val="1"/>
    </w:pPr>
    <w:rPr>
      <w:b/>
      <w:sz w:val="24"/>
    </w:rPr>
  </w:style>
  <w:style w:type="paragraph" w:styleId="Titre4">
    <w:name w:val="heading 4"/>
    <w:basedOn w:val="Normal"/>
    <w:next w:val="Normal"/>
    <w:link w:val="Titre4Car"/>
    <w:semiHidden/>
    <w:unhideWhenUsed/>
    <w:qFormat/>
    <w:rsid w:val="009021A1"/>
    <w:pPr>
      <w:keepNext/>
      <w:tabs>
        <w:tab w:val="left" w:pos="6237"/>
      </w:tabs>
      <w:jc w:val="center"/>
      <w:outlineLvl w:val="3"/>
    </w:pPr>
    <w:rPr>
      <w:rFonts w:ascii="Comic Sans MS" w:hAnsi="Comic Sans MS"/>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9021A1"/>
    <w:rPr>
      <w:rFonts w:ascii="Times New Roman" w:eastAsia="Times New Roman" w:hAnsi="Times New Roman" w:cs="Times New Roman"/>
      <w:b/>
      <w:sz w:val="24"/>
      <w:szCs w:val="20"/>
      <w:lang w:eastAsia="fr-FR"/>
    </w:rPr>
  </w:style>
  <w:style w:type="character" w:customStyle="1" w:styleId="Titre4Car">
    <w:name w:val="Titre 4 Car"/>
    <w:basedOn w:val="Policepardfaut"/>
    <w:link w:val="Titre4"/>
    <w:semiHidden/>
    <w:rsid w:val="009021A1"/>
    <w:rPr>
      <w:rFonts w:ascii="Comic Sans MS" w:eastAsia="Times New Roman" w:hAnsi="Comic Sans MS" w:cs="Times New Roman"/>
      <w:b/>
      <w:sz w:val="20"/>
      <w:szCs w:val="20"/>
      <w:lang w:eastAsia="fr-FR"/>
    </w:rPr>
  </w:style>
  <w:style w:type="paragraph" w:styleId="En-tte">
    <w:name w:val="header"/>
    <w:basedOn w:val="Normal"/>
    <w:link w:val="En-tteCar"/>
    <w:uiPriority w:val="99"/>
    <w:unhideWhenUsed/>
    <w:rsid w:val="009021A1"/>
    <w:pPr>
      <w:tabs>
        <w:tab w:val="center" w:pos="4536"/>
        <w:tab w:val="right" w:pos="9072"/>
      </w:tabs>
    </w:pPr>
  </w:style>
  <w:style w:type="character" w:customStyle="1" w:styleId="En-tteCar">
    <w:name w:val="En-tête Car"/>
    <w:basedOn w:val="Policepardfaut"/>
    <w:link w:val="En-tte"/>
    <w:uiPriority w:val="99"/>
    <w:rsid w:val="009021A1"/>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9021A1"/>
    <w:pPr>
      <w:tabs>
        <w:tab w:val="center" w:pos="4536"/>
        <w:tab w:val="right" w:pos="9072"/>
      </w:tabs>
    </w:pPr>
  </w:style>
  <w:style w:type="character" w:customStyle="1" w:styleId="PieddepageCar">
    <w:name w:val="Pied de page Car"/>
    <w:basedOn w:val="Policepardfaut"/>
    <w:link w:val="Pieddepage"/>
    <w:uiPriority w:val="99"/>
    <w:rsid w:val="009021A1"/>
    <w:rPr>
      <w:rFonts w:ascii="Times New Roman" w:eastAsia="Times New Roman" w:hAnsi="Times New Roman" w:cs="Times New Roman"/>
      <w:sz w:val="20"/>
      <w:szCs w:val="20"/>
      <w:lang w:eastAsia="fr-FR"/>
    </w:rPr>
  </w:style>
  <w:style w:type="paragraph" w:customStyle="1" w:styleId="Raisonsociale">
    <w:name w:val="Raison sociale"/>
    <w:basedOn w:val="Normal"/>
    <w:uiPriority w:val="99"/>
    <w:rsid w:val="009021A1"/>
    <w:pPr>
      <w:framePr w:w="10036" w:h="510" w:wrap="notBeside" w:vAnchor="page" w:hAnchor="page" w:x="738" w:y="15832" w:anchorLock="1"/>
      <w:spacing w:line="170" w:lineRule="exact"/>
    </w:pPr>
    <w:rPr>
      <w:rFonts w:asciiTheme="minorHAnsi" w:eastAsia="Arial" w:hAnsiTheme="minorHAnsi"/>
      <w:b/>
      <w:color w:val="ED7D31" w:themeColor="accent2"/>
      <w:sz w:val="16"/>
      <w:szCs w:val="22"/>
      <w:lang w:eastAsia="en-US"/>
    </w:rPr>
  </w:style>
  <w:style w:type="paragraph" w:customStyle="1" w:styleId="Mentionslgales">
    <w:name w:val="Mentions légales"/>
    <w:basedOn w:val="Normal"/>
    <w:uiPriority w:val="99"/>
    <w:rsid w:val="009021A1"/>
    <w:pPr>
      <w:framePr w:w="10036" w:h="510" w:wrap="notBeside" w:vAnchor="page" w:hAnchor="page" w:x="738" w:y="15832" w:anchorLock="1"/>
      <w:spacing w:line="170" w:lineRule="exact"/>
    </w:pPr>
    <w:rPr>
      <w:rFonts w:asciiTheme="minorHAnsi" w:eastAsia="Arial" w:hAnsiTheme="minorHAnsi"/>
      <w:color w:val="ED7D31" w:themeColor="accent2"/>
      <w:sz w:val="16"/>
      <w:szCs w:val="22"/>
      <w:lang w:eastAsia="en-US"/>
    </w:rPr>
  </w:style>
  <w:style w:type="character" w:customStyle="1" w:styleId="Adresseinternet">
    <w:name w:val="Adresse internet"/>
    <w:uiPriority w:val="99"/>
    <w:rsid w:val="009021A1"/>
    <w:rPr>
      <w:b/>
    </w:rPr>
  </w:style>
  <w:style w:type="paragraph" w:customStyle="1" w:styleId="Textedesaisie">
    <w:name w:val="Texte de saisie"/>
    <w:basedOn w:val="Normal"/>
    <w:uiPriority w:val="99"/>
    <w:rsid w:val="009021A1"/>
    <w:pPr>
      <w:spacing w:line="260" w:lineRule="atLeast"/>
      <w:jc w:val="both"/>
    </w:pPr>
    <w:rPr>
      <w:rFonts w:asciiTheme="minorHAnsi" w:eastAsia="Arial" w:hAnsiTheme="minorHAnsi"/>
      <w:szCs w:val="22"/>
      <w:lang w:eastAsia="en-US"/>
    </w:rPr>
  </w:style>
  <w:style w:type="character" w:customStyle="1" w:styleId="Titre1Car">
    <w:name w:val="Titre 1 Car"/>
    <w:basedOn w:val="Policepardfaut"/>
    <w:link w:val="Titre1"/>
    <w:uiPriority w:val="9"/>
    <w:rsid w:val="009021A1"/>
    <w:rPr>
      <w:rFonts w:asciiTheme="majorHAnsi" w:eastAsiaTheme="majorEastAsia" w:hAnsiTheme="majorHAnsi" w:cstheme="majorBidi"/>
      <w:b/>
      <w:bCs/>
      <w:caps/>
      <w:color w:val="ED7D31" w:themeColor="accent2"/>
      <w:sz w:val="24"/>
      <w:szCs w:val="28"/>
    </w:rPr>
  </w:style>
  <w:style w:type="paragraph" w:styleId="Textedebulles">
    <w:name w:val="Balloon Text"/>
    <w:basedOn w:val="Normal"/>
    <w:link w:val="TextedebullesCar"/>
    <w:uiPriority w:val="99"/>
    <w:semiHidden/>
    <w:unhideWhenUsed/>
    <w:rsid w:val="00E04298"/>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4298"/>
    <w:rPr>
      <w:rFonts w:ascii="Segoe UI" w:eastAsia="Times New Roman" w:hAnsi="Segoe UI" w:cs="Segoe UI"/>
      <w:sz w:val="18"/>
      <w:szCs w:val="18"/>
      <w:lang w:eastAsia="fr-FR"/>
    </w:rPr>
  </w:style>
  <w:style w:type="paragraph" w:styleId="Paragraphedeliste">
    <w:name w:val="List Paragraph"/>
    <w:basedOn w:val="Normal"/>
    <w:uiPriority w:val="34"/>
    <w:qFormat/>
    <w:rsid w:val="00A25D51"/>
    <w:pPr>
      <w:ind w:left="720"/>
      <w:contextualSpacing/>
    </w:pPr>
  </w:style>
  <w:style w:type="paragraph" w:customStyle="1" w:styleId="Default">
    <w:name w:val="Default"/>
    <w:rsid w:val="003D498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03414">
      <w:bodyDiv w:val="1"/>
      <w:marLeft w:val="0"/>
      <w:marRight w:val="0"/>
      <w:marTop w:val="0"/>
      <w:marBottom w:val="0"/>
      <w:divBdr>
        <w:top w:val="none" w:sz="0" w:space="0" w:color="auto"/>
        <w:left w:val="none" w:sz="0" w:space="0" w:color="auto"/>
        <w:bottom w:val="none" w:sz="0" w:space="0" w:color="auto"/>
        <w:right w:val="none" w:sz="0" w:space="0" w:color="auto"/>
      </w:divBdr>
    </w:div>
    <w:div w:id="438990350">
      <w:bodyDiv w:val="1"/>
      <w:marLeft w:val="0"/>
      <w:marRight w:val="0"/>
      <w:marTop w:val="0"/>
      <w:marBottom w:val="0"/>
      <w:divBdr>
        <w:top w:val="none" w:sz="0" w:space="0" w:color="auto"/>
        <w:left w:val="none" w:sz="0" w:space="0" w:color="auto"/>
        <w:bottom w:val="none" w:sz="0" w:space="0" w:color="auto"/>
        <w:right w:val="none" w:sz="0" w:space="0" w:color="auto"/>
      </w:divBdr>
    </w:div>
    <w:div w:id="490675965">
      <w:bodyDiv w:val="1"/>
      <w:marLeft w:val="0"/>
      <w:marRight w:val="0"/>
      <w:marTop w:val="0"/>
      <w:marBottom w:val="0"/>
      <w:divBdr>
        <w:top w:val="none" w:sz="0" w:space="0" w:color="auto"/>
        <w:left w:val="none" w:sz="0" w:space="0" w:color="auto"/>
        <w:bottom w:val="none" w:sz="0" w:space="0" w:color="auto"/>
        <w:right w:val="none" w:sz="0" w:space="0" w:color="auto"/>
      </w:divBdr>
    </w:div>
    <w:div w:id="495000435">
      <w:bodyDiv w:val="1"/>
      <w:marLeft w:val="0"/>
      <w:marRight w:val="0"/>
      <w:marTop w:val="0"/>
      <w:marBottom w:val="0"/>
      <w:divBdr>
        <w:top w:val="none" w:sz="0" w:space="0" w:color="auto"/>
        <w:left w:val="none" w:sz="0" w:space="0" w:color="auto"/>
        <w:bottom w:val="none" w:sz="0" w:space="0" w:color="auto"/>
        <w:right w:val="none" w:sz="0" w:space="0" w:color="auto"/>
      </w:divBdr>
    </w:div>
    <w:div w:id="778179523">
      <w:bodyDiv w:val="1"/>
      <w:marLeft w:val="0"/>
      <w:marRight w:val="0"/>
      <w:marTop w:val="0"/>
      <w:marBottom w:val="0"/>
      <w:divBdr>
        <w:top w:val="none" w:sz="0" w:space="0" w:color="auto"/>
        <w:left w:val="none" w:sz="0" w:space="0" w:color="auto"/>
        <w:bottom w:val="none" w:sz="0" w:space="0" w:color="auto"/>
        <w:right w:val="none" w:sz="0" w:space="0" w:color="auto"/>
      </w:divBdr>
    </w:div>
    <w:div w:id="893390775">
      <w:bodyDiv w:val="1"/>
      <w:marLeft w:val="0"/>
      <w:marRight w:val="0"/>
      <w:marTop w:val="0"/>
      <w:marBottom w:val="0"/>
      <w:divBdr>
        <w:top w:val="none" w:sz="0" w:space="0" w:color="auto"/>
        <w:left w:val="none" w:sz="0" w:space="0" w:color="auto"/>
        <w:bottom w:val="none" w:sz="0" w:space="0" w:color="auto"/>
        <w:right w:val="none" w:sz="0" w:space="0" w:color="auto"/>
      </w:divBdr>
    </w:div>
    <w:div w:id="1126388735">
      <w:bodyDiv w:val="1"/>
      <w:marLeft w:val="0"/>
      <w:marRight w:val="0"/>
      <w:marTop w:val="0"/>
      <w:marBottom w:val="0"/>
      <w:divBdr>
        <w:top w:val="none" w:sz="0" w:space="0" w:color="auto"/>
        <w:left w:val="none" w:sz="0" w:space="0" w:color="auto"/>
        <w:bottom w:val="none" w:sz="0" w:space="0" w:color="auto"/>
        <w:right w:val="none" w:sz="0" w:space="0" w:color="auto"/>
      </w:divBdr>
    </w:div>
    <w:div w:id="1150751712">
      <w:bodyDiv w:val="1"/>
      <w:marLeft w:val="0"/>
      <w:marRight w:val="0"/>
      <w:marTop w:val="0"/>
      <w:marBottom w:val="0"/>
      <w:divBdr>
        <w:top w:val="none" w:sz="0" w:space="0" w:color="auto"/>
        <w:left w:val="none" w:sz="0" w:space="0" w:color="auto"/>
        <w:bottom w:val="none" w:sz="0" w:space="0" w:color="auto"/>
        <w:right w:val="none" w:sz="0" w:space="0" w:color="auto"/>
      </w:divBdr>
    </w:div>
    <w:div w:id="1471433234">
      <w:bodyDiv w:val="1"/>
      <w:marLeft w:val="0"/>
      <w:marRight w:val="0"/>
      <w:marTop w:val="0"/>
      <w:marBottom w:val="0"/>
      <w:divBdr>
        <w:top w:val="none" w:sz="0" w:space="0" w:color="auto"/>
        <w:left w:val="none" w:sz="0" w:space="0" w:color="auto"/>
        <w:bottom w:val="none" w:sz="0" w:space="0" w:color="auto"/>
        <w:right w:val="none" w:sz="0" w:space="0" w:color="auto"/>
      </w:divBdr>
    </w:div>
    <w:div w:id="1509440277">
      <w:bodyDiv w:val="1"/>
      <w:marLeft w:val="0"/>
      <w:marRight w:val="0"/>
      <w:marTop w:val="0"/>
      <w:marBottom w:val="0"/>
      <w:divBdr>
        <w:top w:val="none" w:sz="0" w:space="0" w:color="auto"/>
        <w:left w:val="none" w:sz="0" w:space="0" w:color="auto"/>
        <w:bottom w:val="none" w:sz="0" w:space="0" w:color="auto"/>
        <w:right w:val="none" w:sz="0" w:space="0" w:color="auto"/>
      </w:divBdr>
    </w:div>
    <w:div w:id="20556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E6C5A-D1F5-4093-AF57-424075AA0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446</Words>
  <Characters>2458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MAHE</dc:creator>
  <cp:keywords/>
  <dc:description/>
  <cp:lastModifiedBy>Eleonora MAHE</cp:lastModifiedBy>
  <cp:revision>4</cp:revision>
  <cp:lastPrinted>2020-01-31T17:07:00Z</cp:lastPrinted>
  <dcterms:created xsi:type="dcterms:W3CDTF">2020-01-31T17:06:00Z</dcterms:created>
  <dcterms:modified xsi:type="dcterms:W3CDTF">2020-01-31T17:07:00Z</dcterms:modified>
</cp:coreProperties>
</file>